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04" w:rsidRPr="00F62886" w:rsidRDefault="00367D04" w:rsidP="00367D04">
      <w:pPr>
        <w:ind w:left="1290" w:right="1332" w:hanging="1290"/>
        <w:rPr>
          <w:rFonts w:ascii="Times New Roman" w:hAnsi="Times New Roman"/>
          <w:b/>
          <w:sz w:val="28"/>
          <w:szCs w:val="28"/>
        </w:rPr>
      </w:pPr>
      <w:r w:rsidRPr="00C51664">
        <w:rPr>
          <w:b/>
          <w:sz w:val="28"/>
          <w:szCs w:val="28"/>
        </w:rPr>
        <w:t>S12</w:t>
      </w:r>
      <w:r w:rsidRPr="00C51664">
        <w:rPr>
          <w:b/>
          <w:sz w:val="28"/>
          <w:szCs w:val="28"/>
        </w:rPr>
        <w:tab/>
      </w:r>
      <w:r w:rsidRPr="00F62886">
        <w:rPr>
          <w:rFonts w:ascii="Times New Roman" w:hAnsi="Times New Roman"/>
          <w:b/>
          <w:sz w:val="28"/>
          <w:szCs w:val="28"/>
        </w:rPr>
        <w:t>Utbyte av tandfyllningar som ett led i medicinsk rehabilitering</w:t>
      </w:r>
    </w:p>
    <w:p w:rsidR="00367D04" w:rsidRPr="00F62886" w:rsidRDefault="00367D04" w:rsidP="00367D04">
      <w:pPr>
        <w:pStyle w:val="Brdtext"/>
        <w:ind w:right="1332" w:firstLine="1290"/>
        <w:rPr>
          <w:i/>
          <w:szCs w:val="28"/>
        </w:rPr>
      </w:pPr>
      <w:r w:rsidRPr="00F62886">
        <w:rPr>
          <w:i/>
          <w:szCs w:val="28"/>
        </w:rPr>
        <w:t xml:space="preserve">SFS </w:t>
      </w:r>
      <w:proofErr w:type="gramStart"/>
      <w:r w:rsidRPr="00F62886">
        <w:rPr>
          <w:i/>
          <w:szCs w:val="28"/>
        </w:rPr>
        <w:t>1998:1338</w:t>
      </w:r>
      <w:proofErr w:type="gramEnd"/>
      <w:r w:rsidRPr="00F62886">
        <w:rPr>
          <w:i/>
          <w:szCs w:val="28"/>
        </w:rPr>
        <w:t xml:space="preserve"> </w:t>
      </w:r>
    </w:p>
    <w:p w:rsidR="00367D04" w:rsidRPr="00C51664" w:rsidRDefault="00367D04" w:rsidP="00367D04">
      <w:pPr>
        <w:pStyle w:val="Brdtext"/>
        <w:ind w:right="1332"/>
      </w:pPr>
    </w:p>
    <w:p w:rsidR="00367D04" w:rsidRPr="00F62886" w:rsidRDefault="00367D04" w:rsidP="00367D04">
      <w:pPr>
        <w:pStyle w:val="Brdtext"/>
        <w:ind w:right="1332"/>
        <w:rPr>
          <w:b w:val="0"/>
          <w:sz w:val="24"/>
          <w:szCs w:val="24"/>
        </w:rPr>
      </w:pPr>
      <w:bookmarkStart w:id="0" w:name="_GoBack"/>
      <w:r w:rsidRPr="00F62886">
        <w:rPr>
          <w:b w:val="0"/>
          <w:sz w:val="24"/>
          <w:szCs w:val="24"/>
        </w:rPr>
        <w:t>Patienter som i samband med långvariga sjukdomssymptom får sina tandfyllningar utbytta som ett led i medicinsk rehabilitering får detta utfört inom ramen för den öppna hälso- och sjukvårdens avgiftssystem. Ett verifierat samband med patientens symptom behöver inte föreligga.</w:t>
      </w:r>
    </w:p>
    <w:p w:rsidR="00367D04" w:rsidRPr="00F62886" w:rsidRDefault="00367D04" w:rsidP="00367D04">
      <w:pPr>
        <w:pStyle w:val="Brdtext"/>
        <w:ind w:right="1332"/>
        <w:rPr>
          <w:b w:val="0"/>
          <w:sz w:val="24"/>
          <w:szCs w:val="24"/>
        </w:rPr>
      </w:pPr>
    </w:p>
    <w:p w:rsidR="00367D04" w:rsidRPr="00F62886" w:rsidRDefault="00367D04" w:rsidP="00367D04">
      <w:pPr>
        <w:pStyle w:val="Brdtext"/>
        <w:ind w:right="1332"/>
        <w:rPr>
          <w:b w:val="0"/>
          <w:sz w:val="24"/>
          <w:szCs w:val="24"/>
        </w:rPr>
      </w:pPr>
      <w:r w:rsidRPr="00F62886">
        <w:rPr>
          <w:b w:val="0"/>
          <w:sz w:val="24"/>
          <w:szCs w:val="24"/>
        </w:rPr>
        <w:t>En förutsättning för att bestämmelserna om vårdavgift skall gälla är att det inte föreligger någon odontologisk orsak till att åtgärda tänderna. Patientens odontologiska behov skall först åtgärdas med avgift enligt den allmänna tandvårdsförsäkringens ersättningssystem.</w:t>
      </w:r>
    </w:p>
    <w:p w:rsidR="00367D04" w:rsidRPr="00F62886" w:rsidRDefault="00367D04" w:rsidP="00367D04">
      <w:pPr>
        <w:pStyle w:val="Brdtext"/>
        <w:ind w:right="1332"/>
        <w:rPr>
          <w:b w:val="0"/>
          <w:sz w:val="24"/>
          <w:szCs w:val="24"/>
        </w:rPr>
      </w:pPr>
    </w:p>
    <w:p w:rsidR="00367D04" w:rsidRPr="00F62886" w:rsidRDefault="00367D04" w:rsidP="00367D04">
      <w:pPr>
        <w:pStyle w:val="Brdtext"/>
        <w:ind w:right="1332"/>
        <w:rPr>
          <w:b w:val="0"/>
          <w:sz w:val="24"/>
          <w:szCs w:val="24"/>
        </w:rPr>
      </w:pPr>
      <w:r w:rsidRPr="00F62886">
        <w:rPr>
          <w:b w:val="0"/>
          <w:sz w:val="24"/>
          <w:szCs w:val="24"/>
        </w:rPr>
        <w:t>Utbytet av tandfyllningarna sker efter en utredningsplan, som upprättats under ledning av en läkare med specialistkompetens inom ett område med anknytning till patientens symptom. Utredningen ska ha kommit så långt att de flesta andra faktorer som kan förknippas med sjukdomstillståndet har uteslutits eller åtgärdats innan utbyte av tandfyllningar kan bli aktuellt. Utrednings- och behandlingsplanen upprättas i samarbete mellan ansvarig läkare och den tandläkare som skall utföra behandlingen.</w:t>
      </w:r>
    </w:p>
    <w:p w:rsidR="00367D04" w:rsidRPr="00F62886" w:rsidRDefault="00367D04" w:rsidP="00367D04">
      <w:pPr>
        <w:pStyle w:val="Brdtext"/>
        <w:ind w:right="1332"/>
        <w:rPr>
          <w:b w:val="0"/>
          <w:sz w:val="24"/>
          <w:szCs w:val="24"/>
        </w:rPr>
      </w:pPr>
    </w:p>
    <w:p w:rsidR="00367D04" w:rsidRPr="00F62886" w:rsidRDefault="00367D04" w:rsidP="00367D04">
      <w:pPr>
        <w:pStyle w:val="Brdtext"/>
        <w:ind w:right="1332"/>
        <w:rPr>
          <w:b w:val="0"/>
          <w:sz w:val="24"/>
          <w:szCs w:val="24"/>
        </w:rPr>
      </w:pPr>
      <w:r w:rsidRPr="00F62886">
        <w:rPr>
          <w:b w:val="0"/>
          <w:sz w:val="24"/>
          <w:szCs w:val="24"/>
        </w:rPr>
        <w:t>Läkarremissen ska ange att utbytet av tandfyllningarna är ett led i patientens rehabilitering. Det skall styrkas att patienten har haft långvariga besvär och genomgått utredningar under flera år. Det är viktigt att initiativet till utbytet av tandfyllningar kommer från specialistläkaren och att läkaren anser att utbytet av tandfyllningarna sker som ett led i den medicinska behandlingsplanen. Det ska också finnas en medicinsk rehabiliteringsplan där det framgår hur man tänker gå vidare i behandlingen om bytet av tandfyllningar inte ger önskat resultat. Fyllningsbytet ska utgöra en del av patientens totala behandlingsplan.</w:t>
      </w:r>
    </w:p>
    <w:p w:rsidR="00367D04" w:rsidRPr="00F62886" w:rsidRDefault="00367D04" w:rsidP="00367D04">
      <w:pPr>
        <w:pStyle w:val="Brdtext"/>
        <w:ind w:right="1332"/>
        <w:rPr>
          <w:b w:val="0"/>
          <w:sz w:val="24"/>
          <w:szCs w:val="24"/>
        </w:rPr>
      </w:pPr>
    </w:p>
    <w:p w:rsidR="00367D04" w:rsidRPr="00F62886" w:rsidRDefault="00367D04" w:rsidP="00367D04">
      <w:pPr>
        <w:pStyle w:val="Brdtext"/>
        <w:ind w:right="1332"/>
        <w:rPr>
          <w:b w:val="0"/>
          <w:sz w:val="24"/>
          <w:szCs w:val="24"/>
        </w:rPr>
      </w:pPr>
      <w:r w:rsidRPr="00F62886">
        <w:rPr>
          <w:b w:val="0"/>
          <w:sz w:val="24"/>
          <w:szCs w:val="24"/>
        </w:rPr>
        <w:t xml:space="preserve">Med tandfyllningar avses amalgamfyllningar, kompositfyllningar, </w:t>
      </w:r>
      <w:proofErr w:type="spellStart"/>
      <w:r w:rsidRPr="00F62886">
        <w:rPr>
          <w:b w:val="0"/>
          <w:sz w:val="24"/>
          <w:szCs w:val="24"/>
        </w:rPr>
        <w:t>glasjonomer</w:t>
      </w:r>
      <w:proofErr w:type="spellEnd"/>
      <w:r w:rsidRPr="00F62886">
        <w:rPr>
          <w:b w:val="0"/>
          <w:sz w:val="24"/>
          <w:szCs w:val="24"/>
        </w:rPr>
        <w:t>-fyllningar samt kron- och broarbeten utförda i olika typer av gjutbara legeringar. I vissa fall kan utbyte av protesmaterial ersättas, dock endast med annat protes-material i likvärdigt utförande. Aktuella röntgenbilder skall alltid medskickas.</w:t>
      </w:r>
    </w:p>
    <w:p w:rsidR="00367D04" w:rsidRPr="00F62886" w:rsidRDefault="00367D04" w:rsidP="00367D04">
      <w:pPr>
        <w:pStyle w:val="Brdtext"/>
        <w:ind w:right="1332"/>
        <w:rPr>
          <w:b w:val="0"/>
          <w:sz w:val="24"/>
          <w:szCs w:val="24"/>
        </w:rPr>
      </w:pPr>
    </w:p>
    <w:p w:rsidR="00367D04" w:rsidRPr="00F62886" w:rsidRDefault="00367D04" w:rsidP="00367D04">
      <w:pPr>
        <w:ind w:right="1332"/>
        <w:rPr>
          <w:rFonts w:ascii="Times New Roman" w:hAnsi="Times New Roman"/>
          <w:b/>
        </w:rPr>
      </w:pPr>
      <w:r w:rsidRPr="00F62886">
        <w:rPr>
          <w:rFonts w:ascii="Times New Roman" w:hAnsi="Times New Roman"/>
          <w:b/>
        </w:rPr>
        <w:t>Förhandsbedömning skall alltid ske.</w:t>
      </w:r>
    </w:p>
    <w:bookmarkEnd w:id="0"/>
    <w:p w:rsidR="005A34A8" w:rsidRPr="00F62886" w:rsidRDefault="005A34A8" w:rsidP="00367D04">
      <w:pPr>
        <w:rPr>
          <w:rFonts w:ascii="Times New Roman" w:hAnsi="Times New Roman"/>
        </w:rPr>
      </w:pPr>
    </w:p>
    <w:sectPr w:rsidR="005A34A8" w:rsidRPr="00F62886" w:rsidSect="00BE2D51">
      <w:headerReference w:type="default" r:id="rId8"/>
      <w:footerReference w:type="default" r:id="rId9"/>
      <w:headerReference w:type="first" r:id="rId10"/>
      <w:footerReference w:type="first" r:id="rId11"/>
      <w:pgSz w:w="11906" w:h="16838" w:code="9"/>
      <w:pgMar w:top="2835"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52" w:rsidRDefault="00604B52">
      <w:r>
        <w:separator/>
      </w:r>
    </w:p>
  </w:endnote>
  <w:endnote w:type="continuationSeparator" w:id="0">
    <w:p w:rsidR="00604B52" w:rsidRDefault="0060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52" w:rsidRDefault="00604B52">
    <w:pPr>
      <w:pStyle w:val="Sidfot"/>
    </w:pPr>
    <w:r>
      <w:rPr>
        <w:noProof/>
      </w:rPr>
      <w:drawing>
        <wp:anchor distT="0" distB="0" distL="114300" distR="114300" simplePos="0" relativeHeight="251658752" behindDoc="0" locked="0" layoutInCell="1" allowOverlap="1" wp14:anchorId="52013AD7" wp14:editId="143B2B37">
          <wp:simplePos x="0" y="0"/>
          <wp:positionH relativeFrom="margin">
            <wp:posOffset>-914400</wp:posOffset>
          </wp:positionH>
          <wp:positionV relativeFrom="page">
            <wp:posOffset>10127615</wp:posOffset>
          </wp:positionV>
          <wp:extent cx="7560310" cy="588010"/>
          <wp:effectExtent l="0" t="0" r="2540" b="2540"/>
          <wp:wrapSquare wrapText="bothSides"/>
          <wp:docPr id="5"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52" w:rsidRDefault="00604B52">
    <w:pPr>
      <w:pStyle w:val="Sidfot"/>
    </w:pPr>
    <w:r w:rsidRPr="00DA60CF">
      <w:rPr>
        <w:noProof/>
      </w:rPr>
      <w:drawing>
        <wp:anchor distT="0" distB="0" distL="114300" distR="114300" simplePos="0" relativeHeight="251660800" behindDoc="1" locked="0" layoutInCell="1" allowOverlap="1" wp14:anchorId="27CA62FF" wp14:editId="1A44A010">
          <wp:simplePos x="0" y="0"/>
          <wp:positionH relativeFrom="margin">
            <wp:posOffset>-900430</wp:posOffset>
          </wp:positionH>
          <wp:positionV relativeFrom="page">
            <wp:posOffset>10353675</wp:posOffset>
          </wp:positionV>
          <wp:extent cx="7572375" cy="352425"/>
          <wp:effectExtent l="19050" t="0" r="9525" b="0"/>
          <wp:wrapTight wrapText="bothSides">
            <wp:wrapPolygon edited="0">
              <wp:start x="-54" y="0"/>
              <wp:lineTo x="-54" y="21016"/>
              <wp:lineTo x="21627" y="21016"/>
              <wp:lineTo x="21627" y="0"/>
              <wp:lineTo x="-54" y="0"/>
            </wp:wrapPolygon>
          </wp:wrapTight>
          <wp:docPr id="1" name="Bild 17"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3524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52" w:rsidRDefault="00604B52">
      <w:r>
        <w:separator/>
      </w:r>
    </w:p>
  </w:footnote>
  <w:footnote w:type="continuationSeparator" w:id="0">
    <w:p w:rsidR="00604B52" w:rsidRDefault="0060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604B52" w:rsidRPr="00B74FB9" w:rsidTr="00B74FB9">
      <w:tc>
        <w:tcPr>
          <w:tcW w:w="9210" w:type="dxa"/>
        </w:tcPr>
        <w:p w:rsidR="00604B52" w:rsidRPr="00B74FB9" w:rsidRDefault="00604B52" w:rsidP="00B74FB9">
          <w:pPr>
            <w:pStyle w:val="Sidhuvud"/>
            <w:jc w:val="right"/>
            <w:rPr>
              <w:sz w:val="20"/>
              <w:szCs w:val="20"/>
            </w:rPr>
          </w:pPr>
        </w:p>
      </w:tc>
    </w:tr>
  </w:tbl>
  <w:p w:rsidR="00604B52" w:rsidRPr="005F318F" w:rsidRDefault="00604B52">
    <w:pPr>
      <w:pStyle w:val="Sidhuvud"/>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604B52" w:rsidRPr="00B74FB9" w:rsidTr="00B74FB9">
      <w:tc>
        <w:tcPr>
          <w:tcW w:w="9210" w:type="dxa"/>
        </w:tcPr>
        <w:p w:rsidR="00604B52" w:rsidRPr="00B74FB9" w:rsidRDefault="00604B52" w:rsidP="00B74FB9">
          <w:pPr>
            <w:pStyle w:val="Sidhuvud"/>
            <w:jc w:val="right"/>
            <w:rPr>
              <w:sz w:val="20"/>
              <w:szCs w:val="20"/>
            </w:rPr>
          </w:pPr>
          <w:r w:rsidRPr="00B74FB9">
            <w:rPr>
              <w:rStyle w:val="Sidnummer"/>
              <w:szCs w:val="20"/>
            </w:rPr>
            <w:fldChar w:fldCharType="begin"/>
          </w:r>
          <w:r w:rsidRPr="00B74FB9">
            <w:rPr>
              <w:rStyle w:val="Sidnummer"/>
              <w:szCs w:val="20"/>
            </w:rPr>
            <w:instrText xml:space="preserve"> PAGE </w:instrText>
          </w:r>
          <w:r w:rsidRPr="00B74FB9">
            <w:rPr>
              <w:rStyle w:val="Sidnummer"/>
              <w:szCs w:val="20"/>
            </w:rPr>
            <w:fldChar w:fldCharType="separate"/>
          </w:r>
          <w:r w:rsidR="00F62886">
            <w:rPr>
              <w:rStyle w:val="Sidnummer"/>
              <w:noProof/>
              <w:szCs w:val="20"/>
            </w:rPr>
            <w:t>1</w:t>
          </w:r>
          <w:r w:rsidRPr="00B74FB9">
            <w:rPr>
              <w:rStyle w:val="Sidnummer"/>
              <w:szCs w:val="20"/>
            </w:rPr>
            <w:fldChar w:fldCharType="end"/>
          </w:r>
          <w:r w:rsidRPr="00B74FB9">
            <w:rPr>
              <w:rStyle w:val="Sidnummer"/>
              <w:szCs w:val="20"/>
            </w:rPr>
            <w:t>(</w:t>
          </w:r>
          <w:r>
            <w:rPr>
              <w:rStyle w:val="Sidnummer"/>
            </w:rPr>
            <w:fldChar w:fldCharType="begin"/>
          </w:r>
          <w:r>
            <w:rPr>
              <w:rStyle w:val="Sidnummer"/>
            </w:rPr>
            <w:instrText xml:space="preserve"> NUMPAGES </w:instrText>
          </w:r>
          <w:r>
            <w:rPr>
              <w:rStyle w:val="Sidnummer"/>
            </w:rPr>
            <w:fldChar w:fldCharType="separate"/>
          </w:r>
          <w:r w:rsidR="00F62886">
            <w:rPr>
              <w:rStyle w:val="Sidnummer"/>
              <w:noProof/>
            </w:rPr>
            <w:t>1</w:t>
          </w:r>
          <w:r>
            <w:rPr>
              <w:rStyle w:val="Sidnummer"/>
            </w:rPr>
            <w:fldChar w:fldCharType="end"/>
          </w:r>
          <w:r>
            <w:rPr>
              <w:rStyle w:val="Sidnummer"/>
            </w:rPr>
            <w:t>)</w:t>
          </w:r>
        </w:p>
      </w:tc>
    </w:tr>
  </w:tbl>
  <w:p w:rsidR="00604B52" w:rsidRDefault="00604B52">
    <w:pPr>
      <w:pStyle w:val="Sidhuvud"/>
    </w:pPr>
    <w:r>
      <w:rPr>
        <w:noProof/>
      </w:rPr>
      <w:drawing>
        <wp:anchor distT="0" distB="0" distL="114300" distR="114300" simplePos="0" relativeHeight="251656704" behindDoc="0" locked="0" layoutInCell="1" allowOverlap="1" wp14:anchorId="183ACF88" wp14:editId="23386435">
          <wp:simplePos x="0" y="0"/>
          <wp:positionH relativeFrom="column">
            <wp:posOffset>-396240</wp:posOffset>
          </wp:positionH>
          <wp:positionV relativeFrom="paragraph">
            <wp:posOffset>0</wp:posOffset>
          </wp:positionV>
          <wp:extent cx="2447925" cy="581025"/>
          <wp:effectExtent l="0" t="0" r="9525" b="9525"/>
          <wp:wrapSquare wrapText="bothSides"/>
          <wp:docPr id="3"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407802"/>
    <w:lvl w:ilvl="0">
      <w:start w:val="1"/>
      <w:numFmt w:val="decimal"/>
      <w:lvlText w:val="%1."/>
      <w:lvlJc w:val="left"/>
      <w:pPr>
        <w:tabs>
          <w:tab w:val="num" w:pos="1492"/>
        </w:tabs>
        <w:ind w:left="1492" w:hanging="360"/>
      </w:pPr>
    </w:lvl>
  </w:abstractNum>
  <w:abstractNum w:abstractNumId="1">
    <w:nsid w:val="FFFFFF7D"/>
    <w:multiLevelType w:val="singleLevel"/>
    <w:tmpl w:val="4E64CD08"/>
    <w:lvl w:ilvl="0">
      <w:start w:val="1"/>
      <w:numFmt w:val="decimal"/>
      <w:lvlText w:val="%1."/>
      <w:lvlJc w:val="left"/>
      <w:pPr>
        <w:tabs>
          <w:tab w:val="num" w:pos="1209"/>
        </w:tabs>
        <w:ind w:left="1209" w:hanging="360"/>
      </w:pPr>
    </w:lvl>
  </w:abstractNum>
  <w:abstractNum w:abstractNumId="2">
    <w:nsid w:val="FFFFFF7E"/>
    <w:multiLevelType w:val="singleLevel"/>
    <w:tmpl w:val="EB1ADA64"/>
    <w:lvl w:ilvl="0">
      <w:start w:val="1"/>
      <w:numFmt w:val="decimal"/>
      <w:lvlText w:val="%1."/>
      <w:lvlJc w:val="left"/>
      <w:pPr>
        <w:tabs>
          <w:tab w:val="num" w:pos="926"/>
        </w:tabs>
        <w:ind w:left="926" w:hanging="360"/>
      </w:pPr>
    </w:lvl>
  </w:abstractNum>
  <w:abstractNum w:abstractNumId="3">
    <w:nsid w:val="FFFFFF7F"/>
    <w:multiLevelType w:val="singleLevel"/>
    <w:tmpl w:val="AB601860"/>
    <w:lvl w:ilvl="0">
      <w:start w:val="1"/>
      <w:numFmt w:val="decimal"/>
      <w:lvlText w:val="%1."/>
      <w:lvlJc w:val="left"/>
      <w:pPr>
        <w:tabs>
          <w:tab w:val="num" w:pos="643"/>
        </w:tabs>
        <w:ind w:left="643" w:hanging="360"/>
      </w:pPr>
    </w:lvl>
  </w:abstractNum>
  <w:abstractNum w:abstractNumId="4">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5BC31A8"/>
    <w:multiLevelType w:val="hybridMultilevel"/>
    <w:tmpl w:val="7AE87DB8"/>
    <w:lvl w:ilvl="0" w:tplc="5BFAD9E4">
      <w:numFmt w:val="bullet"/>
      <w:lvlText w:val=""/>
      <w:lvlJc w:val="left"/>
      <w:pPr>
        <w:tabs>
          <w:tab w:val="num" w:pos="720"/>
        </w:tabs>
        <w:ind w:left="720" w:hanging="360"/>
      </w:pPr>
      <w:rPr>
        <w:rFonts w:ascii="Wingdings" w:eastAsia="Times New Roman"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32C327A"/>
    <w:multiLevelType w:val="singleLevel"/>
    <w:tmpl w:val="B9325D1C"/>
    <w:lvl w:ilvl="0">
      <w:start w:val="1"/>
      <w:numFmt w:val="bullet"/>
      <w:lvlText w:val=""/>
      <w:lvlJc w:val="left"/>
      <w:pPr>
        <w:tabs>
          <w:tab w:val="num" w:pos="360"/>
        </w:tabs>
        <w:ind w:left="360" w:hanging="360"/>
      </w:pPr>
      <w:rPr>
        <w:rFonts w:ascii="Symbol" w:hAnsi="Symbol" w:hint="default"/>
      </w:rPr>
    </w:lvl>
  </w:abstractNum>
  <w:abstractNum w:abstractNumId="14">
    <w:nsid w:val="4FA9450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5B6329"/>
    <w:multiLevelType w:val="hybridMultilevel"/>
    <w:tmpl w:val="ECA2A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2000F64"/>
    <w:multiLevelType w:val="hybridMultilevel"/>
    <w:tmpl w:val="554EFE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EF"/>
    <w:rsid w:val="00060F8E"/>
    <w:rsid w:val="0014569D"/>
    <w:rsid w:val="001820C5"/>
    <w:rsid w:val="00276F66"/>
    <w:rsid w:val="00280650"/>
    <w:rsid w:val="00280A15"/>
    <w:rsid w:val="003074DE"/>
    <w:rsid w:val="00367D04"/>
    <w:rsid w:val="003935A8"/>
    <w:rsid w:val="003A0B84"/>
    <w:rsid w:val="003E1A2B"/>
    <w:rsid w:val="004D2E12"/>
    <w:rsid w:val="004F5D75"/>
    <w:rsid w:val="00524761"/>
    <w:rsid w:val="00545370"/>
    <w:rsid w:val="00590BA8"/>
    <w:rsid w:val="005A34A8"/>
    <w:rsid w:val="005F318F"/>
    <w:rsid w:val="005F5292"/>
    <w:rsid w:val="00604B52"/>
    <w:rsid w:val="00691A10"/>
    <w:rsid w:val="00752D20"/>
    <w:rsid w:val="00764189"/>
    <w:rsid w:val="007A679E"/>
    <w:rsid w:val="007E535B"/>
    <w:rsid w:val="0080681C"/>
    <w:rsid w:val="0087418F"/>
    <w:rsid w:val="008B571A"/>
    <w:rsid w:val="00905E29"/>
    <w:rsid w:val="009677E6"/>
    <w:rsid w:val="009B42B8"/>
    <w:rsid w:val="00A20908"/>
    <w:rsid w:val="00B74FB9"/>
    <w:rsid w:val="00BB7908"/>
    <w:rsid w:val="00BC72CA"/>
    <w:rsid w:val="00BE195F"/>
    <w:rsid w:val="00BE2D51"/>
    <w:rsid w:val="00BF2104"/>
    <w:rsid w:val="00C46451"/>
    <w:rsid w:val="00CD66E1"/>
    <w:rsid w:val="00CE1E6C"/>
    <w:rsid w:val="00D115E5"/>
    <w:rsid w:val="00D501EF"/>
    <w:rsid w:val="00DA1346"/>
    <w:rsid w:val="00DA60CF"/>
    <w:rsid w:val="00DB2BB6"/>
    <w:rsid w:val="00DC4F68"/>
    <w:rsid w:val="00E054E8"/>
    <w:rsid w:val="00EB6C8B"/>
    <w:rsid w:val="00F02DFD"/>
    <w:rsid w:val="00F24A17"/>
    <w:rsid w:val="00F62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Body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Brdtext">
    <w:name w:val="Body Text"/>
    <w:basedOn w:val="Normal"/>
    <w:link w:val="BrdtextChar"/>
    <w:uiPriority w:val="99"/>
    <w:unhideWhenUsed/>
    <w:rsid w:val="00BF2104"/>
    <w:pPr>
      <w:spacing w:line="240" w:lineRule="auto"/>
    </w:pPr>
    <w:rPr>
      <w:rFonts w:ascii="Times New Roman" w:hAnsi="Times New Roman"/>
      <w:b/>
      <w:sz w:val="28"/>
      <w:szCs w:val="20"/>
    </w:rPr>
  </w:style>
  <w:style w:type="character" w:customStyle="1" w:styleId="BrdtextChar">
    <w:name w:val="Brödtext Char"/>
    <w:basedOn w:val="Standardstycketeckensnitt"/>
    <w:link w:val="Brdtext"/>
    <w:uiPriority w:val="99"/>
    <w:rsid w:val="00BF2104"/>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Body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Brdtext">
    <w:name w:val="Body Text"/>
    <w:basedOn w:val="Normal"/>
    <w:link w:val="BrdtextChar"/>
    <w:uiPriority w:val="99"/>
    <w:unhideWhenUsed/>
    <w:rsid w:val="00BF2104"/>
    <w:pPr>
      <w:spacing w:line="240" w:lineRule="auto"/>
    </w:pPr>
    <w:rPr>
      <w:rFonts w:ascii="Times New Roman" w:hAnsi="Times New Roman"/>
      <w:b/>
      <w:sz w:val="28"/>
      <w:szCs w:val="20"/>
    </w:rPr>
  </w:style>
  <w:style w:type="character" w:customStyle="1" w:styleId="BrdtextChar">
    <w:name w:val="Brödtext Char"/>
    <w:basedOn w:val="Standardstycketeckensnitt"/>
    <w:link w:val="Brdtext"/>
    <w:uiPriority w:val="99"/>
    <w:rsid w:val="00BF210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5841">
      <w:bodyDiv w:val="1"/>
      <w:marLeft w:val="0"/>
      <w:marRight w:val="0"/>
      <w:marTop w:val="0"/>
      <w:marBottom w:val="0"/>
      <w:divBdr>
        <w:top w:val="none" w:sz="0" w:space="0" w:color="auto"/>
        <w:left w:val="none" w:sz="0" w:space="0" w:color="auto"/>
        <w:bottom w:val="none" w:sz="0" w:space="0" w:color="auto"/>
        <w:right w:val="none" w:sz="0" w:space="0" w:color="auto"/>
      </w:divBdr>
    </w:div>
    <w:div w:id="11797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hak\Lokala%20inst&#228;llningar\Temporary%20Internet%20Files\Content.Outlook\TYZTHN4S\Mall_Allm&#228;nt_tex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C5CD5AFB12A2409ECC940E80363294" ma:contentTypeVersion="1" ma:contentTypeDescription="Skapa ett nytt dokument." ma:contentTypeScope="" ma:versionID="90d35cad931e68016c8773db4aeb331a">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9057F7-FBDF-4D37-A21F-6F220EF15618}"/>
</file>

<file path=customXml/itemProps2.xml><?xml version="1.0" encoding="utf-8"?>
<ds:datastoreItem xmlns:ds="http://schemas.openxmlformats.org/officeDocument/2006/customXml" ds:itemID="{94A0C386-8E0D-4E92-91B7-411377ACFDD3}"/>
</file>

<file path=customXml/itemProps3.xml><?xml version="1.0" encoding="utf-8"?>
<ds:datastoreItem xmlns:ds="http://schemas.openxmlformats.org/officeDocument/2006/customXml" ds:itemID="{5B6FDEED-00CD-4780-BC3F-B4162C482DC4}"/>
</file>

<file path=docProps/app.xml><?xml version="1.0" encoding="utf-8"?>
<Properties xmlns="http://schemas.openxmlformats.org/officeDocument/2006/extended-properties" xmlns:vt="http://schemas.openxmlformats.org/officeDocument/2006/docPropsVTypes">
  <Template>Mall_Allmänt_textdokument</Template>
  <TotalTime>1</TotalTime>
  <Pages>1</Pages>
  <Words>283</Words>
  <Characters>1835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Rubrik 1</vt:lpstr>
    </vt:vector>
  </TitlesOfParts>
  <Company>Datahalland AB</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Utbyte av tandfyllningar som ett led i medicinsk rehabilitering</dc:title>
  <dc:creator>Håkansson Gunnel LK kundval o priv vårdg</dc:creator>
  <cp:lastModifiedBy>Håkansson Gunnel RK PLAN o UPPFÖLJNAVD</cp:lastModifiedBy>
  <cp:revision>3</cp:revision>
  <cp:lastPrinted>2012-12-10T11:28:00Z</cp:lastPrinted>
  <dcterms:created xsi:type="dcterms:W3CDTF">2012-12-10T12:42:00Z</dcterms:created>
  <dcterms:modified xsi:type="dcterms:W3CDTF">2012-12-10T14:46:00Z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0x0101001CC5CD5AFB12A2409ECC940E80363294</vt:lpwstr>
  </property>
</Properties>
</file>