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3D" w:rsidRDefault="00044927" w:rsidP="001B6C8F">
      <w:pPr>
        <w:pStyle w:val="Rubrik"/>
        <w:pBdr>
          <w:bottom w:val="single" w:sz="8" w:space="6" w:color="4F81BD" w:themeColor="accent1"/>
        </w:pBdr>
        <w:rPr>
          <w:sz w:val="36"/>
        </w:rPr>
      </w:pPr>
      <w:bookmarkStart w:id="0" w:name="_GoBack"/>
      <w:bookmarkEnd w:id="0"/>
      <w:r w:rsidRPr="00044927">
        <w:rPr>
          <w:noProof/>
          <w:sz w:val="36"/>
          <w:lang w:eastAsia="sv-SE"/>
        </w:rPr>
        <w:drawing>
          <wp:anchor distT="0" distB="0" distL="114300" distR="114300" simplePos="0" relativeHeight="251660288" behindDoc="0" locked="0" layoutInCell="1" allowOverlap="1" wp14:anchorId="2898ACF0" wp14:editId="042F2A0A">
            <wp:simplePos x="0" y="0"/>
            <wp:positionH relativeFrom="column">
              <wp:posOffset>2368550</wp:posOffset>
            </wp:positionH>
            <wp:positionV relativeFrom="paragraph">
              <wp:posOffset>-440690</wp:posOffset>
            </wp:positionV>
            <wp:extent cx="402590" cy="450850"/>
            <wp:effectExtent l="0" t="0" r="0" b="635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l="2367" r="78549" b="5556"/>
                    <a:stretch>
                      <a:fillRect/>
                    </a:stretch>
                  </pic:blipFill>
                  <pic:spPr bwMode="auto">
                    <a:xfrm>
                      <a:off x="0" y="0"/>
                      <a:ext cx="402590" cy="450850"/>
                    </a:xfrm>
                    <a:prstGeom prst="rect">
                      <a:avLst/>
                    </a:prstGeom>
                    <a:noFill/>
                  </pic:spPr>
                </pic:pic>
              </a:graphicData>
            </a:graphic>
            <wp14:sizeRelH relativeFrom="page">
              <wp14:pctWidth>0</wp14:pctWidth>
            </wp14:sizeRelH>
            <wp14:sizeRelV relativeFrom="page">
              <wp14:pctHeight>0</wp14:pctHeight>
            </wp14:sizeRelV>
          </wp:anchor>
        </w:drawing>
      </w:r>
      <w:r w:rsidRPr="00044927">
        <w:rPr>
          <w:noProof/>
          <w:sz w:val="36"/>
          <w:lang w:eastAsia="sv-SE"/>
        </w:rPr>
        <w:drawing>
          <wp:anchor distT="0" distB="0" distL="114300" distR="114300" simplePos="0" relativeHeight="251661312" behindDoc="0" locked="0" layoutInCell="1" allowOverlap="1" wp14:anchorId="44E46550" wp14:editId="090F82F6">
            <wp:simplePos x="0" y="0"/>
            <wp:positionH relativeFrom="column">
              <wp:posOffset>2771140</wp:posOffset>
            </wp:positionH>
            <wp:positionV relativeFrom="paragraph">
              <wp:posOffset>-384810</wp:posOffset>
            </wp:positionV>
            <wp:extent cx="407670" cy="422275"/>
            <wp:effectExtent l="0" t="0" r="0" b="0"/>
            <wp:wrapNone/>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9">
                      <a:extLst>
                        <a:ext uri="{28A0092B-C50C-407E-A947-70E740481C1C}">
                          <a14:useLocalDpi xmlns:a14="http://schemas.microsoft.com/office/drawing/2010/main" val="0"/>
                        </a:ext>
                      </a:extLst>
                    </a:blip>
                    <a:srcRect l="13840" r="10268" b="40886"/>
                    <a:stretch>
                      <a:fillRect/>
                    </a:stretch>
                  </pic:blipFill>
                  <pic:spPr bwMode="auto">
                    <a:xfrm>
                      <a:off x="0" y="0"/>
                      <a:ext cx="407670" cy="422275"/>
                    </a:xfrm>
                    <a:prstGeom prst="rect">
                      <a:avLst/>
                    </a:prstGeom>
                    <a:noFill/>
                  </pic:spPr>
                </pic:pic>
              </a:graphicData>
            </a:graphic>
            <wp14:sizeRelH relativeFrom="page">
              <wp14:pctWidth>0</wp14:pctWidth>
            </wp14:sizeRelH>
            <wp14:sizeRelV relativeFrom="page">
              <wp14:pctHeight>0</wp14:pctHeight>
            </wp14:sizeRelV>
          </wp:anchor>
        </w:drawing>
      </w:r>
      <w:r w:rsidRPr="00044927">
        <w:rPr>
          <w:noProof/>
          <w:sz w:val="36"/>
          <w:lang w:eastAsia="sv-SE"/>
        </w:rPr>
        <w:drawing>
          <wp:anchor distT="0" distB="0" distL="114300" distR="114300" simplePos="0" relativeHeight="251662336" behindDoc="0" locked="0" layoutInCell="1" allowOverlap="1" wp14:anchorId="3CECE663" wp14:editId="674F466B">
            <wp:simplePos x="0" y="0"/>
            <wp:positionH relativeFrom="column">
              <wp:posOffset>3178810</wp:posOffset>
            </wp:positionH>
            <wp:positionV relativeFrom="paragraph">
              <wp:posOffset>-389890</wp:posOffset>
            </wp:positionV>
            <wp:extent cx="301625" cy="400050"/>
            <wp:effectExtent l="0" t="0" r="3175" b="0"/>
            <wp:wrapNone/>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0">
                      <a:extLst>
                        <a:ext uri="{28A0092B-C50C-407E-A947-70E740481C1C}">
                          <a14:useLocalDpi xmlns:a14="http://schemas.microsoft.com/office/drawing/2010/main" val="0"/>
                        </a:ext>
                      </a:extLst>
                    </a:blip>
                    <a:srcRect r="87218" b="-740"/>
                    <a:stretch>
                      <a:fillRect/>
                    </a:stretch>
                  </pic:blipFill>
                  <pic:spPr bwMode="auto">
                    <a:xfrm>
                      <a:off x="0" y="0"/>
                      <a:ext cx="301625" cy="400050"/>
                    </a:xfrm>
                    <a:prstGeom prst="rect">
                      <a:avLst/>
                    </a:prstGeom>
                    <a:noFill/>
                  </pic:spPr>
                </pic:pic>
              </a:graphicData>
            </a:graphic>
            <wp14:sizeRelH relativeFrom="page">
              <wp14:pctWidth>0</wp14:pctWidth>
            </wp14:sizeRelH>
            <wp14:sizeRelV relativeFrom="page">
              <wp14:pctHeight>0</wp14:pctHeight>
            </wp14:sizeRelV>
          </wp:anchor>
        </w:drawing>
      </w:r>
      <w:r w:rsidRPr="00044927">
        <w:rPr>
          <w:noProof/>
          <w:sz w:val="36"/>
          <w:lang w:eastAsia="sv-SE"/>
        </w:rPr>
        <w:drawing>
          <wp:anchor distT="0" distB="0" distL="114300" distR="114300" simplePos="0" relativeHeight="251663360" behindDoc="0" locked="0" layoutInCell="1" allowOverlap="1" wp14:anchorId="4D876933" wp14:editId="5EDBAA42">
            <wp:simplePos x="0" y="0"/>
            <wp:positionH relativeFrom="column">
              <wp:posOffset>3480435</wp:posOffset>
            </wp:positionH>
            <wp:positionV relativeFrom="paragraph">
              <wp:posOffset>-389890</wp:posOffset>
            </wp:positionV>
            <wp:extent cx="450850" cy="450850"/>
            <wp:effectExtent l="0" t="0" r="6350" b="635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1">
                      <a:extLst>
                        <a:ext uri="{28A0092B-C50C-407E-A947-70E740481C1C}">
                          <a14:useLocalDpi xmlns:a14="http://schemas.microsoft.com/office/drawing/2010/main" val="0"/>
                        </a:ext>
                      </a:extLst>
                    </a:blip>
                    <a:srcRect r="56813" b="4259"/>
                    <a:stretch>
                      <a:fillRect/>
                    </a:stretch>
                  </pic:blipFill>
                  <pic:spPr bwMode="auto">
                    <a:xfrm>
                      <a:off x="0" y="0"/>
                      <a:ext cx="450850" cy="450850"/>
                    </a:xfrm>
                    <a:prstGeom prst="rect">
                      <a:avLst/>
                    </a:prstGeom>
                    <a:noFill/>
                  </pic:spPr>
                </pic:pic>
              </a:graphicData>
            </a:graphic>
            <wp14:sizeRelH relativeFrom="page">
              <wp14:pctWidth>0</wp14:pctWidth>
            </wp14:sizeRelH>
            <wp14:sizeRelV relativeFrom="page">
              <wp14:pctHeight>0</wp14:pctHeight>
            </wp14:sizeRelV>
          </wp:anchor>
        </w:drawing>
      </w:r>
      <w:r w:rsidRPr="00044927">
        <w:rPr>
          <w:noProof/>
          <w:sz w:val="36"/>
          <w:lang w:eastAsia="sv-SE"/>
        </w:rPr>
        <w:drawing>
          <wp:anchor distT="0" distB="0" distL="114300" distR="114300" simplePos="0" relativeHeight="251664384" behindDoc="0" locked="0" layoutInCell="1" allowOverlap="1" wp14:anchorId="22649BB9" wp14:editId="08B6DDEE">
            <wp:simplePos x="0" y="0"/>
            <wp:positionH relativeFrom="column">
              <wp:posOffset>3931285</wp:posOffset>
            </wp:positionH>
            <wp:positionV relativeFrom="paragraph">
              <wp:posOffset>-314960</wp:posOffset>
            </wp:positionV>
            <wp:extent cx="553085" cy="262255"/>
            <wp:effectExtent l="0" t="0" r="0" b="4445"/>
            <wp:wrapNone/>
            <wp:docPr id="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2" cstate="print">
                      <a:extLst>
                        <a:ext uri="{28A0092B-C50C-407E-A947-70E740481C1C}">
                          <a14:useLocalDpi xmlns:a14="http://schemas.microsoft.com/office/drawing/2010/main" val="0"/>
                        </a:ext>
                      </a:extLst>
                    </a:blip>
                    <a:srcRect l="34923" r="6923" b="39124"/>
                    <a:stretch>
                      <a:fillRect/>
                    </a:stretch>
                  </pic:blipFill>
                  <pic:spPr bwMode="auto">
                    <a:xfrm>
                      <a:off x="0" y="0"/>
                      <a:ext cx="553085" cy="262255"/>
                    </a:xfrm>
                    <a:prstGeom prst="rect">
                      <a:avLst/>
                    </a:prstGeom>
                    <a:noFill/>
                  </pic:spPr>
                </pic:pic>
              </a:graphicData>
            </a:graphic>
            <wp14:sizeRelH relativeFrom="page">
              <wp14:pctWidth>0</wp14:pctWidth>
            </wp14:sizeRelH>
            <wp14:sizeRelV relativeFrom="page">
              <wp14:pctHeight>0</wp14:pctHeight>
            </wp14:sizeRelV>
          </wp:anchor>
        </w:drawing>
      </w:r>
      <w:r w:rsidRPr="00044927">
        <w:rPr>
          <w:noProof/>
          <w:sz w:val="36"/>
          <w:lang w:eastAsia="sv-SE"/>
        </w:rPr>
        <w:drawing>
          <wp:anchor distT="0" distB="0" distL="114300" distR="114300" simplePos="0" relativeHeight="251665408" behindDoc="0" locked="0" layoutInCell="1" allowOverlap="1" wp14:anchorId="2CC4F291" wp14:editId="1A9A7AEC">
            <wp:simplePos x="0" y="0"/>
            <wp:positionH relativeFrom="column">
              <wp:posOffset>4531995</wp:posOffset>
            </wp:positionH>
            <wp:positionV relativeFrom="paragraph">
              <wp:posOffset>-347345</wp:posOffset>
            </wp:positionV>
            <wp:extent cx="751840" cy="29464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 cy="294640"/>
                    </a:xfrm>
                    <a:prstGeom prst="rect">
                      <a:avLst/>
                    </a:prstGeom>
                    <a:noFill/>
                  </pic:spPr>
                </pic:pic>
              </a:graphicData>
            </a:graphic>
            <wp14:sizeRelH relativeFrom="page">
              <wp14:pctWidth>0</wp14:pctWidth>
            </wp14:sizeRelH>
            <wp14:sizeRelV relativeFrom="page">
              <wp14:pctHeight>0</wp14:pctHeight>
            </wp14:sizeRelV>
          </wp:anchor>
        </w:drawing>
      </w:r>
      <w:r w:rsidRPr="00044927">
        <w:rPr>
          <w:noProof/>
          <w:sz w:val="36"/>
          <w:lang w:eastAsia="sv-SE"/>
        </w:rPr>
        <w:drawing>
          <wp:anchor distT="0" distB="0" distL="114300" distR="114300" simplePos="0" relativeHeight="251659264" behindDoc="0" locked="0" layoutInCell="1" allowOverlap="1" wp14:anchorId="4060649D" wp14:editId="4D00A4F4">
            <wp:simplePos x="0" y="0"/>
            <wp:positionH relativeFrom="margin">
              <wp:posOffset>90806</wp:posOffset>
            </wp:positionH>
            <wp:positionV relativeFrom="page">
              <wp:posOffset>236220</wp:posOffset>
            </wp:positionV>
            <wp:extent cx="2072640" cy="483885"/>
            <wp:effectExtent l="0" t="0" r="381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2640" cy="483885"/>
                    </a:xfrm>
                    <a:prstGeom prst="rect">
                      <a:avLst/>
                    </a:prstGeom>
                    <a:noFill/>
                  </pic:spPr>
                </pic:pic>
              </a:graphicData>
            </a:graphic>
            <wp14:sizeRelH relativeFrom="page">
              <wp14:pctWidth>0</wp14:pctWidth>
            </wp14:sizeRelH>
            <wp14:sizeRelV relativeFrom="page">
              <wp14:pctHeight>0</wp14:pctHeight>
            </wp14:sizeRelV>
          </wp:anchor>
        </w:drawing>
      </w:r>
    </w:p>
    <w:p w:rsidR="00E47111" w:rsidRPr="00BE6FF0" w:rsidRDefault="00E47111" w:rsidP="00E47111">
      <w:pPr>
        <w:rPr>
          <w:b/>
          <w:sz w:val="32"/>
          <w:szCs w:val="32"/>
        </w:rPr>
      </w:pPr>
      <w:r w:rsidRPr="00BE6FF0">
        <w:rPr>
          <w:b/>
          <w:sz w:val="32"/>
          <w:szCs w:val="32"/>
        </w:rPr>
        <w:t>Trygg och effektiv utskrivning – aktuell info januari 2019</w:t>
      </w:r>
    </w:p>
    <w:p w:rsidR="00E47111" w:rsidRDefault="00E47111" w:rsidP="00E47111">
      <w:pPr>
        <w:rPr>
          <w:b/>
          <w:sz w:val="24"/>
          <w:szCs w:val="24"/>
        </w:rPr>
      </w:pPr>
      <w:r>
        <w:rPr>
          <w:b/>
          <w:sz w:val="24"/>
          <w:szCs w:val="24"/>
          <w:highlight w:val="yellow"/>
        </w:rPr>
        <w:t>Närsjukvårdens förändrade ansvar och roll</w:t>
      </w:r>
    </w:p>
    <w:p w:rsidR="00E47111" w:rsidRDefault="00E47111" w:rsidP="00E47111">
      <w:pPr>
        <w:pStyle w:val="Default"/>
        <w:spacing w:line="276" w:lineRule="auto"/>
        <w:rPr>
          <w:rFonts w:asciiTheme="minorHAnsi" w:hAnsiTheme="minorHAnsi" w:cstheme="minorHAnsi"/>
        </w:rPr>
      </w:pPr>
      <w:r>
        <w:rPr>
          <w:rFonts w:asciiTheme="minorHAnsi" w:hAnsiTheme="minorHAnsi" w:cstheme="minorHAnsi"/>
          <w:iCs/>
        </w:rPr>
        <w:t xml:space="preserve">Den 1 januari 2018 trädde lagen om samverkan vid utskrivning från sluten hälso och sjukvård (2017:612) i kraft. För att säkra närsjukvårdens förändrade ansvar och roll infördes i Region Halland en gemensam planeringsfunktion, GP,  för vårdcentralerna med sjuksköterskeresurser som bas.  På uppdrag av regionkontoret har arbetet med </w:t>
      </w:r>
      <w:r>
        <w:rPr>
          <w:rFonts w:asciiTheme="minorHAnsi" w:hAnsiTheme="minorHAnsi" w:cstheme="minorHAnsi"/>
        </w:rPr>
        <w:t xml:space="preserve">utvecklingen av närsjukvårdens ansvar och roll har pågått i dialog med vårdenheterna för att bättre möta intentionen med lagen om samverkan. Målsättningen är att en större andel av samordnad planering med stöd av SIP ska ske i hemmet istället för i slutenvården och förankringen och delaktigheten från den vårdcentral där patienten är listad ska stärkas. Den politiska inriktningen från Hälso- och sjukvårdsutskottet (HSU) är att arbetet med att samordna och sammankalla till SIP förläggs till varje enskild vårdcentral och att uppdraget ska vara en del av helhetsansvaret. </w:t>
      </w:r>
    </w:p>
    <w:p w:rsidR="00E47111" w:rsidRDefault="00E47111" w:rsidP="00E47111">
      <w:pPr>
        <w:rPr>
          <w:iCs/>
          <w:sz w:val="24"/>
          <w:szCs w:val="24"/>
        </w:rPr>
      </w:pPr>
      <w:r>
        <w:rPr>
          <w:rFonts w:cstheme="minorHAnsi"/>
          <w:sz w:val="24"/>
          <w:szCs w:val="24"/>
        </w:rPr>
        <w:t xml:space="preserve">För att detta ska kunna genomföras på bästa sätt pågår det en planering  tillsammans med vårdcentralcheferna kommunvis. Implementering av nytt arbetssätt kommer att ske kommunvis under våren 2019. </w:t>
      </w:r>
      <w:r>
        <w:rPr>
          <w:iCs/>
          <w:sz w:val="24"/>
          <w:szCs w:val="24"/>
        </w:rPr>
        <w:t xml:space="preserve">För att göra övergången så smidig som möjlig har GP-funktionen förlängts till och med juni 2019. </w:t>
      </w:r>
    </w:p>
    <w:p w:rsidR="00E47111" w:rsidRDefault="00E47111" w:rsidP="00E47111">
      <w:pPr>
        <w:rPr>
          <w:b/>
          <w:iCs/>
          <w:sz w:val="24"/>
          <w:szCs w:val="24"/>
        </w:rPr>
      </w:pPr>
      <w:r>
        <w:rPr>
          <w:b/>
          <w:iCs/>
          <w:sz w:val="24"/>
          <w:szCs w:val="24"/>
        </w:rPr>
        <w:t xml:space="preserve">Tidsplan för övergång Närsjukvårdens förändrade ansvar och roll  </w:t>
      </w:r>
    </w:p>
    <w:p w:rsidR="00E47111" w:rsidRDefault="00E47111" w:rsidP="00E47111">
      <w:pPr>
        <w:spacing w:after="0"/>
        <w:rPr>
          <w:iCs/>
          <w:sz w:val="24"/>
          <w:szCs w:val="24"/>
        </w:rPr>
      </w:pPr>
      <w:r>
        <w:rPr>
          <w:iCs/>
          <w:sz w:val="24"/>
          <w:szCs w:val="24"/>
        </w:rPr>
        <w:t>Hylte/Torup</w:t>
      </w:r>
      <w:r>
        <w:rPr>
          <w:iCs/>
          <w:sz w:val="24"/>
          <w:szCs w:val="24"/>
        </w:rPr>
        <w:tab/>
      </w:r>
      <w:r>
        <w:rPr>
          <w:iCs/>
          <w:sz w:val="24"/>
          <w:szCs w:val="24"/>
        </w:rPr>
        <w:tab/>
        <w:t>13 Februari</w:t>
      </w:r>
    </w:p>
    <w:p w:rsidR="00E47111" w:rsidRDefault="00E47111" w:rsidP="00E47111">
      <w:pPr>
        <w:spacing w:after="0"/>
        <w:rPr>
          <w:iCs/>
          <w:sz w:val="24"/>
          <w:szCs w:val="24"/>
        </w:rPr>
      </w:pPr>
      <w:r>
        <w:rPr>
          <w:iCs/>
          <w:sz w:val="24"/>
          <w:szCs w:val="24"/>
        </w:rPr>
        <w:t>Falkenberg</w:t>
      </w:r>
      <w:r>
        <w:rPr>
          <w:iCs/>
          <w:sz w:val="24"/>
          <w:szCs w:val="24"/>
        </w:rPr>
        <w:tab/>
      </w:r>
      <w:r>
        <w:rPr>
          <w:iCs/>
          <w:sz w:val="24"/>
          <w:szCs w:val="24"/>
        </w:rPr>
        <w:tab/>
        <w:t>20 Februari</w:t>
      </w:r>
    </w:p>
    <w:p w:rsidR="00E47111" w:rsidRDefault="00E47111" w:rsidP="00E47111">
      <w:pPr>
        <w:spacing w:after="0"/>
        <w:rPr>
          <w:iCs/>
          <w:sz w:val="24"/>
          <w:szCs w:val="24"/>
        </w:rPr>
      </w:pPr>
      <w:r>
        <w:rPr>
          <w:iCs/>
          <w:sz w:val="24"/>
          <w:szCs w:val="24"/>
        </w:rPr>
        <w:t>Laholm</w:t>
      </w:r>
      <w:r>
        <w:rPr>
          <w:iCs/>
          <w:sz w:val="24"/>
          <w:szCs w:val="24"/>
        </w:rPr>
        <w:tab/>
      </w:r>
      <w:r>
        <w:rPr>
          <w:iCs/>
          <w:sz w:val="24"/>
          <w:szCs w:val="24"/>
        </w:rPr>
        <w:tab/>
        <w:t>6 Mars</w:t>
      </w:r>
    </w:p>
    <w:p w:rsidR="00E47111" w:rsidRDefault="00E47111" w:rsidP="00E47111">
      <w:pPr>
        <w:spacing w:after="0"/>
        <w:rPr>
          <w:iCs/>
          <w:sz w:val="24"/>
          <w:szCs w:val="24"/>
        </w:rPr>
      </w:pPr>
      <w:r>
        <w:rPr>
          <w:iCs/>
          <w:sz w:val="24"/>
          <w:szCs w:val="24"/>
        </w:rPr>
        <w:t>Kungsbacka</w:t>
      </w:r>
      <w:r>
        <w:rPr>
          <w:iCs/>
          <w:sz w:val="24"/>
          <w:szCs w:val="24"/>
        </w:rPr>
        <w:tab/>
      </w:r>
      <w:r>
        <w:rPr>
          <w:iCs/>
          <w:sz w:val="24"/>
          <w:szCs w:val="24"/>
        </w:rPr>
        <w:tab/>
        <w:t xml:space="preserve">20 Mars </w:t>
      </w:r>
    </w:p>
    <w:p w:rsidR="00E47111" w:rsidRDefault="00E47111" w:rsidP="00E47111">
      <w:pPr>
        <w:spacing w:after="0"/>
        <w:rPr>
          <w:iCs/>
          <w:sz w:val="24"/>
          <w:szCs w:val="24"/>
        </w:rPr>
      </w:pPr>
      <w:r>
        <w:rPr>
          <w:iCs/>
          <w:sz w:val="24"/>
          <w:szCs w:val="24"/>
        </w:rPr>
        <w:t>Varberg</w:t>
      </w:r>
      <w:r>
        <w:rPr>
          <w:iCs/>
          <w:sz w:val="24"/>
          <w:szCs w:val="24"/>
        </w:rPr>
        <w:tab/>
      </w:r>
      <w:r>
        <w:rPr>
          <w:iCs/>
          <w:sz w:val="24"/>
          <w:szCs w:val="24"/>
        </w:rPr>
        <w:tab/>
        <w:t>3 April</w:t>
      </w:r>
    </w:p>
    <w:p w:rsidR="00E47111" w:rsidRDefault="00E47111" w:rsidP="00E47111">
      <w:pPr>
        <w:spacing w:after="0"/>
        <w:rPr>
          <w:rFonts w:cstheme="minorHAnsi"/>
          <w:color w:val="1F497D"/>
          <w:sz w:val="24"/>
          <w:szCs w:val="24"/>
        </w:rPr>
      </w:pPr>
      <w:r>
        <w:rPr>
          <w:iCs/>
          <w:sz w:val="24"/>
          <w:szCs w:val="24"/>
        </w:rPr>
        <w:t>Halmstad</w:t>
      </w:r>
      <w:r>
        <w:rPr>
          <w:iCs/>
          <w:sz w:val="24"/>
          <w:szCs w:val="24"/>
        </w:rPr>
        <w:tab/>
      </w:r>
      <w:r>
        <w:rPr>
          <w:iCs/>
          <w:sz w:val="24"/>
          <w:szCs w:val="24"/>
        </w:rPr>
        <w:tab/>
        <w:t>16 April</w:t>
      </w:r>
    </w:p>
    <w:p w:rsidR="00E47111" w:rsidRDefault="00E47111" w:rsidP="00E47111">
      <w:pPr>
        <w:rPr>
          <w:rFonts w:cstheme="minorHAnsi"/>
          <w:sz w:val="24"/>
          <w:szCs w:val="24"/>
        </w:rPr>
      </w:pPr>
    </w:p>
    <w:p w:rsidR="00E47111" w:rsidRDefault="00E47111" w:rsidP="00E47111">
      <w:pPr>
        <w:rPr>
          <w:iCs/>
          <w:sz w:val="24"/>
          <w:szCs w:val="24"/>
        </w:rPr>
      </w:pPr>
      <w:r>
        <w:rPr>
          <w:rFonts w:cstheme="minorHAnsi"/>
          <w:sz w:val="24"/>
          <w:szCs w:val="24"/>
        </w:rPr>
        <w:t xml:space="preserve">Inför övergången kommer det att hållas utbildningsinsatser för distriktsköterskor, sjuksköterskor, fysioterapeuter och arbetsterapeuter i närsjukvården som ska verka som samordnare vid utskrivning från slutenvården. Utbildningsinsatserna kommer att hållas  under januari-april med syfte att ge fördjupad kunskap inom: IT-systemet Lifecare, genomföra Skype-möte, SIP-möte och dokumentera SIP. </w:t>
      </w:r>
    </w:p>
    <w:p w:rsidR="00E47111" w:rsidRDefault="00E47111" w:rsidP="00E47111">
      <w:pPr>
        <w:spacing w:after="120"/>
        <w:rPr>
          <w:b/>
          <w:sz w:val="24"/>
          <w:szCs w:val="24"/>
        </w:rPr>
      </w:pPr>
      <w:r>
        <w:rPr>
          <w:b/>
          <w:sz w:val="24"/>
          <w:szCs w:val="24"/>
          <w:highlight w:val="yellow"/>
        </w:rPr>
        <w:t>Lifecare - förändring av de blå spåren</w:t>
      </w:r>
    </w:p>
    <w:p w:rsidR="00E47111" w:rsidRDefault="00E47111" w:rsidP="00E47111">
      <w:pPr>
        <w:spacing w:after="120"/>
        <w:rPr>
          <w:sz w:val="24"/>
          <w:szCs w:val="24"/>
        </w:rPr>
      </w:pPr>
      <w:r>
        <w:rPr>
          <w:rFonts w:cs="Arial"/>
          <w:sz w:val="24"/>
          <w:szCs w:val="24"/>
        </w:rPr>
        <w:t xml:space="preserve">På uppdrag av Taktisk grupp senior har utvecklingsledare och objektspecialist för Trygg och effektiv utskrivning genomfört en utveckling av de blå spåren i Lifecare. </w:t>
      </w:r>
      <w:proofErr w:type="gramStart"/>
      <w:r>
        <w:rPr>
          <w:rFonts w:cs="Arial"/>
          <w:sz w:val="24"/>
          <w:szCs w:val="24"/>
        </w:rPr>
        <w:t>De</w:t>
      </w:r>
      <w:proofErr w:type="gramEnd"/>
      <w:r>
        <w:rPr>
          <w:rFonts w:cs="Arial"/>
          <w:sz w:val="24"/>
          <w:szCs w:val="24"/>
        </w:rPr>
        <w:t xml:space="preserve"> blå </w:t>
      </w:r>
      <w:proofErr w:type="gramStart"/>
      <w:r>
        <w:rPr>
          <w:rFonts w:cs="Arial"/>
          <w:sz w:val="24"/>
          <w:szCs w:val="24"/>
        </w:rPr>
        <w:t>spåret</w:t>
      </w:r>
      <w:proofErr w:type="gramEnd"/>
      <w:r>
        <w:rPr>
          <w:rFonts w:cs="Arial"/>
          <w:sz w:val="24"/>
          <w:szCs w:val="24"/>
        </w:rPr>
        <w:t xml:space="preserve"> omfattar dels patienter med oförändrat behov av insatser och som sedan tidigare har insatser från kommunen, samt patienter med enbart behov av nya insatser från socialtjänsten.</w:t>
      </w:r>
      <w:r>
        <w:rPr>
          <w:rFonts w:cs="Arial"/>
          <w:sz w:val="24"/>
          <w:szCs w:val="24"/>
        </w:rPr>
        <w:br/>
        <w:t>Två patientgrupper i samma spår upplevs inte tillräckligt tydligt för en korrekt planering utan en utveckling har genomförts för att dela upp dessa patientgrupper i två spår, grönt och blått, vilket finns förberett i Lifecare.</w:t>
      </w:r>
      <w:r>
        <w:rPr>
          <w:sz w:val="24"/>
          <w:szCs w:val="24"/>
        </w:rPr>
        <w:t xml:space="preserve"> </w:t>
      </w:r>
    </w:p>
    <w:p w:rsidR="00E47111" w:rsidRDefault="00E47111" w:rsidP="00E47111">
      <w:pPr>
        <w:pStyle w:val="Liststycke"/>
        <w:numPr>
          <w:ilvl w:val="0"/>
          <w:numId w:val="11"/>
        </w:numPr>
        <w:rPr>
          <w:sz w:val="24"/>
          <w:szCs w:val="24"/>
        </w:rPr>
      </w:pPr>
      <w:r>
        <w:rPr>
          <w:sz w:val="24"/>
          <w:szCs w:val="24"/>
        </w:rPr>
        <w:t>Grönt spår,  enbart behov av insatser från socialtjänsten i samband med utskrivning</w:t>
      </w:r>
    </w:p>
    <w:p w:rsidR="00E47111" w:rsidRDefault="00E47111" w:rsidP="00E47111">
      <w:pPr>
        <w:pStyle w:val="Liststycke"/>
        <w:numPr>
          <w:ilvl w:val="0"/>
          <w:numId w:val="11"/>
        </w:numPr>
        <w:rPr>
          <w:sz w:val="24"/>
          <w:szCs w:val="24"/>
        </w:rPr>
      </w:pPr>
      <w:r>
        <w:rPr>
          <w:sz w:val="24"/>
          <w:szCs w:val="24"/>
        </w:rPr>
        <w:t>Blått spår, oförändrade insatser i samband med utskrivning</w:t>
      </w:r>
    </w:p>
    <w:p w:rsidR="00E47111" w:rsidRDefault="00E47111" w:rsidP="00E47111">
      <w:pPr>
        <w:spacing w:after="120"/>
        <w:rPr>
          <w:b/>
          <w:sz w:val="24"/>
          <w:szCs w:val="24"/>
        </w:rPr>
      </w:pPr>
      <w:r>
        <w:rPr>
          <w:sz w:val="24"/>
          <w:szCs w:val="24"/>
        </w:rPr>
        <w:lastRenderedPageBreak/>
        <w:t xml:space="preserve">Förändringen från två blå spår till blått och grönt spår innebär samtidigt att planeringsunderlaget i Lifecare har reviderats. Revideringen av planeringsunderlaget har skett i samverkan med koordinatorgruppen som består av utsedda representanter från HSH, psykiatrin, närsjukvården och kommunerna i Halland. I samband med revideringen har det också tagits fram en förtydligande text till frågorna i planeringsunderlaget. Den förtydligande texten kommer att finnas tillgänglig som en länk i Lifecare. Förändringen  till ett blått och grönt spår finns förberett i Lifecare och </w:t>
      </w:r>
      <w:r>
        <w:rPr>
          <w:b/>
          <w:sz w:val="24"/>
          <w:szCs w:val="24"/>
        </w:rPr>
        <w:t>tidsplanen för uppstart är den 12 februari</w:t>
      </w:r>
    </w:p>
    <w:p w:rsidR="00D27016" w:rsidRPr="00D27016" w:rsidRDefault="00D27016" w:rsidP="00E47111">
      <w:pPr>
        <w:spacing w:after="120"/>
        <w:rPr>
          <w:b/>
          <w:sz w:val="24"/>
          <w:szCs w:val="24"/>
        </w:rPr>
      </w:pPr>
    </w:p>
    <w:p w:rsidR="00E47111" w:rsidRDefault="00E47111" w:rsidP="00E47111">
      <w:pPr>
        <w:spacing w:after="0" w:line="240" w:lineRule="auto"/>
        <w:rPr>
          <w:sz w:val="24"/>
          <w:szCs w:val="24"/>
        </w:rPr>
      </w:pPr>
      <w:r w:rsidRPr="00D27016">
        <w:rPr>
          <w:b/>
          <w:sz w:val="24"/>
          <w:szCs w:val="24"/>
          <w:highlight w:val="yellow"/>
        </w:rPr>
        <w:t>Inloggningsproblem</w:t>
      </w:r>
      <w:r>
        <w:rPr>
          <w:sz w:val="24"/>
          <w:szCs w:val="24"/>
        </w:rPr>
        <w:br/>
      </w:r>
      <w:proofErr w:type="spellStart"/>
      <w:r>
        <w:rPr>
          <w:sz w:val="24"/>
          <w:szCs w:val="24"/>
        </w:rPr>
        <w:t>Inloggningsproblem</w:t>
      </w:r>
      <w:proofErr w:type="spellEnd"/>
      <w:r>
        <w:rPr>
          <w:sz w:val="24"/>
          <w:szCs w:val="24"/>
        </w:rPr>
        <w:t xml:space="preserve"> i </w:t>
      </w:r>
      <w:proofErr w:type="spellStart"/>
      <w:r>
        <w:rPr>
          <w:sz w:val="24"/>
          <w:szCs w:val="24"/>
        </w:rPr>
        <w:t>Lifecare</w:t>
      </w:r>
      <w:proofErr w:type="spellEnd"/>
      <w:r>
        <w:rPr>
          <w:sz w:val="24"/>
          <w:szCs w:val="24"/>
        </w:rPr>
        <w:t xml:space="preserve"> kvarstår fortfarande, beror på att ”Inloggningstjänsten” är för liten. </w:t>
      </w:r>
    </w:p>
    <w:p w:rsidR="00E47111" w:rsidRDefault="00E47111" w:rsidP="00E47111">
      <w:pPr>
        <w:spacing w:after="0" w:line="240" w:lineRule="auto"/>
        <w:rPr>
          <w:sz w:val="24"/>
          <w:szCs w:val="24"/>
        </w:rPr>
      </w:pPr>
      <w:r>
        <w:rPr>
          <w:sz w:val="24"/>
          <w:szCs w:val="24"/>
        </w:rPr>
        <w:t xml:space="preserve">Leverantören jobbar på att det ska bli bra och att ”segheten” i systemet ska försvinna. </w:t>
      </w:r>
    </w:p>
    <w:p w:rsidR="00E47111" w:rsidRDefault="00E47111" w:rsidP="00E47111">
      <w:pPr>
        <w:spacing w:after="0" w:line="240" w:lineRule="auto"/>
        <w:rPr>
          <w:sz w:val="24"/>
          <w:szCs w:val="24"/>
        </w:rPr>
      </w:pPr>
      <w:r>
        <w:rPr>
          <w:sz w:val="24"/>
          <w:szCs w:val="24"/>
        </w:rPr>
        <w:t>Det kommer att rättas till snarast.</w:t>
      </w:r>
    </w:p>
    <w:p w:rsidR="00E47111" w:rsidRDefault="00E47111" w:rsidP="00E47111">
      <w:pPr>
        <w:spacing w:after="0" w:line="240" w:lineRule="auto"/>
        <w:rPr>
          <w:sz w:val="24"/>
          <w:szCs w:val="24"/>
        </w:rPr>
      </w:pPr>
      <w:r>
        <w:rPr>
          <w:sz w:val="24"/>
          <w:szCs w:val="24"/>
        </w:rPr>
        <w:t>Inloggningstrycket är störst vid 8-10 och runt 14.</w:t>
      </w:r>
    </w:p>
    <w:p w:rsidR="00E47111" w:rsidRDefault="00E47111" w:rsidP="00E47111">
      <w:pPr>
        <w:spacing w:after="0" w:line="240" w:lineRule="auto"/>
        <w:rPr>
          <w:sz w:val="24"/>
          <w:szCs w:val="24"/>
        </w:rPr>
      </w:pPr>
    </w:p>
    <w:p w:rsidR="00E47111" w:rsidRDefault="00E47111" w:rsidP="00E47111">
      <w:pPr>
        <w:spacing w:after="0" w:line="240" w:lineRule="auto"/>
        <w:rPr>
          <w:rFonts w:ascii="Roboto" w:eastAsia="Times New Roman" w:hAnsi="Roboto" w:cs="Times New Roman"/>
          <w:color w:val="333333"/>
          <w:sz w:val="20"/>
          <w:szCs w:val="20"/>
          <w:lang w:eastAsia="sv-SE"/>
        </w:rPr>
      </w:pPr>
      <w:r>
        <w:rPr>
          <w:sz w:val="24"/>
          <w:szCs w:val="24"/>
        </w:rPr>
        <w:t>Innan problemet är löst får man göra flera inloggningsförsök tills man "släpps in". En liknelse: många trådar ska igenom nålsögat samtidigt.  Bara några trådar släpps in samtidigt</w:t>
      </w:r>
      <w:r>
        <w:rPr>
          <w:rFonts w:ascii="Calibri" w:eastAsia="Times New Roman" w:hAnsi="Calibri" w:cs="Times New Roman"/>
          <w:color w:val="1F497D"/>
          <w:sz w:val="24"/>
          <w:szCs w:val="24"/>
          <w:lang w:eastAsia="sv-SE"/>
        </w:rPr>
        <w:t xml:space="preserve">. </w:t>
      </w:r>
    </w:p>
    <w:p w:rsidR="00E47111" w:rsidRDefault="00E47111" w:rsidP="00E47111">
      <w:pPr>
        <w:spacing w:after="120"/>
        <w:rPr>
          <w:sz w:val="24"/>
          <w:szCs w:val="24"/>
        </w:rPr>
      </w:pPr>
    </w:p>
    <w:p w:rsidR="00E47111" w:rsidRDefault="00E47111" w:rsidP="00E47111">
      <w:pPr>
        <w:rPr>
          <w:b/>
          <w:sz w:val="24"/>
          <w:szCs w:val="24"/>
        </w:rPr>
      </w:pPr>
      <w:r>
        <w:rPr>
          <w:b/>
          <w:sz w:val="24"/>
          <w:szCs w:val="24"/>
          <w:highlight w:val="yellow"/>
        </w:rPr>
        <w:t>Pilotprojekt förenklad inskrivning i hemsjukvården</w:t>
      </w:r>
      <w:r>
        <w:rPr>
          <w:b/>
          <w:sz w:val="24"/>
          <w:szCs w:val="24"/>
        </w:rPr>
        <w:t xml:space="preserve"> </w:t>
      </w:r>
    </w:p>
    <w:p w:rsidR="00E47111" w:rsidRDefault="00E47111" w:rsidP="00E47111">
      <w:pPr>
        <w:rPr>
          <w:sz w:val="24"/>
          <w:szCs w:val="24"/>
        </w:rPr>
      </w:pPr>
      <w:r>
        <w:rPr>
          <w:sz w:val="24"/>
          <w:szCs w:val="24"/>
        </w:rPr>
        <w:t xml:space="preserve">Enligt fastställd Riktlinje för trygg och effektiv utskrivning och vård- och omsorgs-planering i öppenvården ska en SIP upprättas i samband med att en patient blir aktuell för inskrivning i hemsjukvården. Erfarenheten från implementeringen av detta arbetssätt visar att behovet av samordning av insatser med stöd av SIP inte finns för samtliga patienter, utan medför framförallt en ökad administration för närsjukvården och kommunen. SIP bör upprättas utifrån patientens behov av samordning av insatserna, oberoende av hur processen ser ut kopplat till inskrivning i hemsjukvården. </w:t>
      </w:r>
    </w:p>
    <w:p w:rsidR="00E47111" w:rsidRDefault="00E47111" w:rsidP="00E47111">
      <w:pPr>
        <w:pStyle w:val="Normalwebb"/>
        <w:spacing w:before="0" w:beforeAutospacing="0" w:after="120" w:afterAutospacing="0" w:line="276" w:lineRule="auto"/>
        <w:textAlignment w:val="baseline"/>
        <w:rPr>
          <w:rFonts w:asciiTheme="minorHAnsi" w:eastAsiaTheme="majorEastAsia" w:hAnsiTheme="minorHAnsi" w:cstheme="minorHAnsi"/>
          <w:bCs/>
        </w:rPr>
      </w:pPr>
      <w:r>
        <w:rPr>
          <w:rFonts w:asciiTheme="minorHAnsi" w:eastAsiaTheme="majorEastAsia" w:hAnsiTheme="minorHAnsi" w:cstheme="minorHAnsi"/>
          <w:bCs/>
        </w:rPr>
        <w:t xml:space="preserve">Utvecklingsledare och objektspecialist för Trygg och effektiv utskrivning fick i uppdrag av Taktisk grupp senior att arbeta med utveckling av en förenklad process vid inskrivning i hemsjukvården. </w:t>
      </w:r>
      <w:r>
        <w:rPr>
          <w:rFonts w:asciiTheme="minorHAnsi" w:hAnsiTheme="minorHAnsi" w:cstheme="minorHAnsi"/>
        </w:rPr>
        <w:t>I November 2018 startades ett pilotprojekt ”</w:t>
      </w:r>
      <w:r>
        <w:rPr>
          <w:rFonts w:asciiTheme="minorHAnsi" w:hAnsiTheme="minorHAnsi" w:cstheme="minorHAnsi"/>
          <w:i/>
        </w:rPr>
        <w:t xml:space="preserve">Förenklad inskrivning i hemsjukvården” </w:t>
      </w:r>
      <w:r>
        <w:rPr>
          <w:rFonts w:asciiTheme="minorHAnsi" w:hAnsiTheme="minorHAnsi" w:cstheme="minorHAnsi"/>
        </w:rPr>
        <w:t xml:space="preserve">i Falkenberg med mål att utifrån projektets erfarenhet implementera den förenklade processen i hela Halland. Projektet pausades efter beslut i Strategisk grupp i november 2018  </w:t>
      </w:r>
    </w:p>
    <w:p w:rsidR="00E47111" w:rsidRDefault="00E47111" w:rsidP="00E47111">
      <w:pPr>
        <w:pStyle w:val="Normalwebb"/>
        <w:spacing w:before="0" w:beforeAutospacing="0" w:after="120" w:afterAutospacing="0" w:line="276" w:lineRule="auto"/>
        <w:textAlignment w:val="baseline"/>
        <w:rPr>
          <w:rFonts w:asciiTheme="minorHAnsi" w:hAnsiTheme="minorHAnsi" w:cstheme="minorHAnsi"/>
        </w:rPr>
      </w:pPr>
      <w:r>
        <w:rPr>
          <w:rFonts w:asciiTheme="minorHAnsi" w:hAnsiTheme="minorHAnsi" w:cstheme="minorHAnsi"/>
        </w:rPr>
        <w:t xml:space="preserve">På strategisk grupps möte i januari 2019 har man tagit ett gemensamt beslut om att återuppta pilotprojektet. Projektet startar igen i Falkenbergskommun med </w:t>
      </w:r>
      <w:r>
        <w:rPr>
          <w:rFonts w:asciiTheme="minorHAnsi" w:hAnsiTheme="minorHAnsi" w:cstheme="minorHAnsi"/>
          <w:b/>
        </w:rPr>
        <w:t xml:space="preserve">planerad uppstart den 5 februari. </w:t>
      </w:r>
      <w:r>
        <w:rPr>
          <w:rFonts w:asciiTheme="minorHAnsi" w:hAnsiTheme="minorHAnsi" w:cstheme="minorHAnsi"/>
        </w:rPr>
        <w:t>Uppföljning och utvärdering kommer ske löpande av utvecklingsteamet. Återrapportering till taktisk grupp senior i mars samt vid deras möte i april.</w:t>
      </w:r>
      <w:r>
        <w:rPr>
          <w:rFonts w:asciiTheme="minorHAnsi" w:hAnsiTheme="minorHAnsi" w:cstheme="minorHAnsi"/>
        </w:rPr>
        <w:br/>
        <w:t xml:space="preserve"> </w:t>
      </w:r>
    </w:p>
    <w:p w:rsidR="00E47111" w:rsidRDefault="00E47111" w:rsidP="00E47111">
      <w:pPr>
        <w:spacing w:after="0"/>
        <w:contextualSpacing/>
        <w:rPr>
          <w:rFonts w:ascii="Arial" w:eastAsia="Times New Roman" w:hAnsi="Arial" w:cs="Times New Roman"/>
          <w:sz w:val="24"/>
          <w:szCs w:val="20"/>
          <w:lang w:eastAsia="sv-SE"/>
        </w:rPr>
      </w:pPr>
      <w:r>
        <w:rPr>
          <w:rFonts w:eastAsia="Times New Roman" w:cstheme="minorHAnsi"/>
          <w:b/>
          <w:sz w:val="24"/>
          <w:szCs w:val="24"/>
          <w:highlight w:val="yellow"/>
          <w:lang w:eastAsia="sv-SE"/>
        </w:rPr>
        <w:t>Utveckling av nuvarande arbetssätt för tydligare och effektivare utskrivningsprocess</w:t>
      </w:r>
      <w:r>
        <w:rPr>
          <w:rFonts w:ascii="Arial" w:eastAsia="Times New Roman" w:hAnsi="Arial" w:cs="Times New Roman"/>
          <w:sz w:val="24"/>
          <w:szCs w:val="20"/>
          <w:lang w:eastAsia="sv-SE"/>
        </w:rPr>
        <w:t>.</w:t>
      </w:r>
      <w:r>
        <w:rPr>
          <w:rFonts w:ascii="Arial" w:eastAsia="Times New Roman" w:hAnsi="Arial" w:cs="Times New Roman"/>
          <w:sz w:val="24"/>
          <w:szCs w:val="20"/>
          <w:lang w:eastAsia="sv-SE"/>
        </w:rPr>
        <w:br/>
        <w:t xml:space="preserve"> </w:t>
      </w:r>
      <w:r>
        <w:rPr>
          <w:rFonts w:ascii="Arial" w:eastAsia="Times New Roman" w:hAnsi="Arial" w:cs="Times New Roman"/>
          <w:sz w:val="24"/>
          <w:szCs w:val="20"/>
          <w:lang w:eastAsia="sv-SE"/>
        </w:rPr>
        <w:br/>
      </w:r>
      <w:r>
        <w:rPr>
          <w:rFonts w:eastAsia="Times New Roman" w:cstheme="minorHAnsi"/>
          <w:sz w:val="24"/>
          <w:szCs w:val="24"/>
          <w:lang w:eastAsia="sv-SE"/>
        </w:rPr>
        <w:t>Utifrån lagen om samverkan vid utskrivning från sluten hälso- och sjukvård har Halland valt arbetssättet att upprätta en SIP i samband med planeringen inför utskrivning från slutenvården för alla patienter med behov av hälso- och sjukvårdsinsatser från kommunen. Under utvecklingsarbetet i Halland inför ny lagstiftning gjordes bedömningen att det arbetssätt som beskrivs i fastställd Riktlinje för trygg och effektiv utskrivning var ett första steg mot en fortsatt utveckling av utskrivningsprocessen.  Taktisk grupp senior</w:t>
      </w:r>
      <w:r>
        <w:rPr>
          <w:rFonts w:ascii="Arial" w:hAnsi="Arial" w:cs="Arial"/>
          <w:sz w:val="24"/>
          <w:szCs w:val="24"/>
        </w:rPr>
        <w:t xml:space="preserve"> </w:t>
      </w:r>
      <w:r>
        <w:rPr>
          <w:rFonts w:eastAsia="Times New Roman" w:cstheme="minorHAnsi"/>
          <w:sz w:val="24"/>
          <w:szCs w:val="24"/>
          <w:lang w:eastAsia="sv-SE"/>
        </w:rPr>
        <w:t xml:space="preserve">gör bedömningen att det är dags att ta nästa steg i Hallands utvecklingsarbete mot en tydligare och effektivare utskrivningsprocess. Strategisk grupp har </w:t>
      </w:r>
      <w:r>
        <w:rPr>
          <w:rFonts w:eastAsia="Times New Roman" w:cstheme="minorHAnsi"/>
          <w:sz w:val="24"/>
          <w:szCs w:val="24"/>
          <w:lang w:eastAsia="sv-SE"/>
        </w:rPr>
        <w:lastRenderedPageBreak/>
        <w:t xml:space="preserve">tagit beslut om att utvecklingen ska påbörjas. En arbetsgrupp är utsedd med representanter från kommunen, närsjukvården och slutenvården och gruppen knyts till </w:t>
      </w:r>
      <w:r>
        <w:rPr>
          <w:rFonts w:eastAsia="Times New Roman" w:cstheme="minorHAnsi"/>
          <w:i/>
          <w:sz w:val="24"/>
          <w:szCs w:val="24"/>
          <w:lang w:eastAsia="sv-SE"/>
        </w:rPr>
        <w:t>Fokusområde hälso- och sjukvård</w:t>
      </w:r>
      <w:r>
        <w:rPr>
          <w:rFonts w:eastAsia="Times New Roman" w:cstheme="minorHAnsi"/>
          <w:sz w:val="24"/>
          <w:szCs w:val="24"/>
          <w:lang w:eastAsia="sv-SE"/>
        </w:rPr>
        <w:t xml:space="preserve">. Samordnare för fokusområde hälso- och sjukvård, Carina Svarvali och utvecklingsledare Britta Engvall, Trygg och effektiv utskrivning från slutenvården, ansvarar för att  arbetsgruppens uppdrag sker utifrån ett helhetsperspektiv och hålls ihop med annat pågående utvecklingsarbete inom ramen för </w:t>
      </w:r>
      <w:r>
        <w:rPr>
          <w:rFonts w:eastAsia="Times New Roman" w:cstheme="minorHAnsi"/>
          <w:i/>
          <w:sz w:val="24"/>
          <w:szCs w:val="24"/>
          <w:lang w:eastAsia="sv-SE"/>
        </w:rPr>
        <w:t xml:space="preserve">Trygg och effektiv utskrivning ifrån slutenvården. </w:t>
      </w:r>
      <w:r>
        <w:rPr>
          <w:rFonts w:eastAsia="Times New Roman" w:cstheme="minorHAnsi"/>
          <w:sz w:val="24"/>
          <w:szCs w:val="24"/>
          <w:lang w:eastAsia="sv-SE"/>
        </w:rPr>
        <w:t>Arbetsgruppen startar i februari och arbetet pågår fram till slutet av maj. Återrapportering kommer ske löpande till taktisk grupp senior. Redovisning till strategisk gruppför i juni och implementering i sep-okt 2019.</w:t>
      </w:r>
    </w:p>
    <w:p w:rsidR="00E47111" w:rsidRDefault="00E47111" w:rsidP="00E47111">
      <w:pPr>
        <w:pStyle w:val="Normalwebb"/>
        <w:spacing w:before="0" w:beforeAutospacing="0" w:after="120" w:afterAutospacing="0" w:line="276" w:lineRule="auto"/>
        <w:textAlignment w:val="baseline"/>
        <w:rPr>
          <w:rFonts w:asciiTheme="minorHAnsi" w:hAnsiTheme="minorHAnsi" w:cstheme="minorHAnsi"/>
        </w:rPr>
      </w:pPr>
    </w:p>
    <w:p w:rsidR="00A3314E" w:rsidRDefault="00A3314E" w:rsidP="00A3314E">
      <w:pPr>
        <w:spacing w:after="0"/>
        <w:rPr>
          <w:i/>
          <w:sz w:val="24"/>
          <w:szCs w:val="24"/>
        </w:rPr>
      </w:pPr>
      <w:r>
        <w:rPr>
          <w:i/>
          <w:sz w:val="24"/>
          <w:szCs w:val="24"/>
        </w:rPr>
        <w:t>2019-01-30</w:t>
      </w:r>
    </w:p>
    <w:p w:rsidR="00E47111" w:rsidRPr="00A3314E" w:rsidRDefault="00A3314E" w:rsidP="00A3314E">
      <w:pPr>
        <w:spacing w:after="0"/>
        <w:rPr>
          <w:i/>
          <w:sz w:val="24"/>
          <w:szCs w:val="24"/>
        </w:rPr>
      </w:pPr>
      <w:r w:rsidRPr="00A3314E">
        <w:rPr>
          <w:i/>
          <w:sz w:val="24"/>
          <w:szCs w:val="24"/>
        </w:rPr>
        <w:t>Utvecklingsledare Trygg och effektiv utskrivning och objektspecialist Lifecare</w:t>
      </w:r>
    </w:p>
    <w:p w:rsidR="00A3314E" w:rsidRPr="00A3314E" w:rsidRDefault="00A3314E" w:rsidP="00A3314E">
      <w:pPr>
        <w:spacing w:after="0"/>
        <w:rPr>
          <w:i/>
          <w:sz w:val="24"/>
          <w:szCs w:val="24"/>
        </w:rPr>
      </w:pPr>
      <w:r w:rsidRPr="00A3314E">
        <w:rPr>
          <w:i/>
          <w:sz w:val="24"/>
          <w:szCs w:val="24"/>
        </w:rPr>
        <w:t>Britta Engvall, Charlotta Johnsson och Helena Nord</w:t>
      </w:r>
    </w:p>
    <w:p w:rsidR="00E47111" w:rsidRPr="00A3314E" w:rsidRDefault="00E47111" w:rsidP="00E47111">
      <w:pPr>
        <w:rPr>
          <w:b/>
          <w:i/>
          <w:sz w:val="24"/>
          <w:szCs w:val="24"/>
        </w:rPr>
      </w:pPr>
    </w:p>
    <w:p w:rsidR="00E47111" w:rsidRDefault="00E47111" w:rsidP="00E47111">
      <w:pPr>
        <w:rPr>
          <w:sz w:val="24"/>
          <w:szCs w:val="24"/>
        </w:rPr>
      </w:pPr>
    </w:p>
    <w:p w:rsidR="00E47111" w:rsidRDefault="00E47111" w:rsidP="00E47111"/>
    <w:p w:rsidR="00611456" w:rsidRPr="00866E6C" w:rsidRDefault="00611456">
      <w:pPr>
        <w:rPr>
          <w:sz w:val="24"/>
          <w:szCs w:val="24"/>
        </w:rPr>
      </w:pPr>
    </w:p>
    <w:sectPr w:rsidR="00611456" w:rsidRPr="00866E6C" w:rsidSect="0073373A">
      <w:headerReference w:type="even" r:id="rId15"/>
      <w:headerReference w:type="default" r:id="rId16"/>
      <w:footerReference w:type="even" r:id="rId17"/>
      <w:footerReference w:type="default" r:id="rId18"/>
      <w:headerReference w:type="first" r:id="rId19"/>
      <w:footerReference w:type="first" r:id="rId20"/>
      <w:pgSz w:w="11906" w:h="16838"/>
      <w:pgMar w:top="993" w:right="849" w:bottom="426" w:left="993"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A3" w:rsidRDefault="00344FA3" w:rsidP="000468D6">
      <w:pPr>
        <w:spacing w:after="0" w:line="240" w:lineRule="auto"/>
      </w:pPr>
      <w:r>
        <w:separator/>
      </w:r>
    </w:p>
  </w:endnote>
  <w:endnote w:type="continuationSeparator" w:id="0">
    <w:p w:rsidR="00344FA3" w:rsidRDefault="00344FA3" w:rsidP="0004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A3" w:rsidRDefault="00344FA3" w:rsidP="000468D6">
      <w:pPr>
        <w:spacing w:after="0" w:line="240" w:lineRule="auto"/>
      </w:pPr>
      <w:r>
        <w:separator/>
      </w:r>
    </w:p>
  </w:footnote>
  <w:footnote w:type="continuationSeparator" w:id="0">
    <w:p w:rsidR="00344FA3" w:rsidRDefault="00344FA3" w:rsidP="0004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D6" w:rsidRDefault="0006401C" w:rsidP="004F4D74">
    <w:pPr>
      <w:pStyle w:val="Sidhuvud"/>
      <w:tabs>
        <w:tab w:val="clear" w:pos="9072"/>
        <w:tab w:val="right" w:pos="10065"/>
      </w:tabs>
    </w:pPr>
    <w:r>
      <w:tab/>
    </w:r>
    <w:r>
      <w:tab/>
    </w:r>
    <w:r w:rsidR="004F4D74">
      <w:t xml:space="preserve">                                   </w:t>
    </w:r>
    <w:r w:rsidR="00AC49BB">
      <w:t>18</w:t>
    </w:r>
    <w:r>
      <w:t>0</w:t>
    </w:r>
    <w:r w:rsidR="00D8003D">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C" w:rsidRDefault="00FC64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689"/>
    <w:multiLevelType w:val="hybridMultilevel"/>
    <w:tmpl w:val="87B0EC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287889"/>
    <w:multiLevelType w:val="hybridMultilevel"/>
    <w:tmpl w:val="A1DAA3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87043D"/>
    <w:multiLevelType w:val="hybridMultilevel"/>
    <w:tmpl w:val="D884E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5F0E1B"/>
    <w:multiLevelType w:val="hybridMultilevel"/>
    <w:tmpl w:val="772EB4E8"/>
    <w:lvl w:ilvl="0" w:tplc="A6FEE7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480F60"/>
    <w:multiLevelType w:val="hybridMultilevel"/>
    <w:tmpl w:val="F766B7C4"/>
    <w:lvl w:ilvl="0" w:tplc="8C5A0366">
      <w:start w:val="1"/>
      <w:numFmt w:val="bullet"/>
      <w:lvlText w:val="•"/>
      <w:lvlJc w:val="left"/>
      <w:pPr>
        <w:tabs>
          <w:tab w:val="num" w:pos="720"/>
        </w:tabs>
        <w:ind w:left="720" w:hanging="360"/>
      </w:pPr>
      <w:rPr>
        <w:rFonts w:ascii="Arial" w:hAnsi="Arial" w:hint="default"/>
      </w:rPr>
    </w:lvl>
    <w:lvl w:ilvl="1" w:tplc="B3C8764C" w:tentative="1">
      <w:start w:val="1"/>
      <w:numFmt w:val="bullet"/>
      <w:lvlText w:val="•"/>
      <w:lvlJc w:val="left"/>
      <w:pPr>
        <w:tabs>
          <w:tab w:val="num" w:pos="1440"/>
        </w:tabs>
        <w:ind w:left="1440" w:hanging="360"/>
      </w:pPr>
      <w:rPr>
        <w:rFonts w:ascii="Arial" w:hAnsi="Arial" w:hint="default"/>
      </w:rPr>
    </w:lvl>
    <w:lvl w:ilvl="2" w:tplc="AC640A20" w:tentative="1">
      <w:start w:val="1"/>
      <w:numFmt w:val="bullet"/>
      <w:lvlText w:val="•"/>
      <w:lvlJc w:val="left"/>
      <w:pPr>
        <w:tabs>
          <w:tab w:val="num" w:pos="2160"/>
        </w:tabs>
        <w:ind w:left="2160" w:hanging="360"/>
      </w:pPr>
      <w:rPr>
        <w:rFonts w:ascii="Arial" w:hAnsi="Arial" w:hint="default"/>
      </w:rPr>
    </w:lvl>
    <w:lvl w:ilvl="3" w:tplc="F3665148" w:tentative="1">
      <w:start w:val="1"/>
      <w:numFmt w:val="bullet"/>
      <w:lvlText w:val="•"/>
      <w:lvlJc w:val="left"/>
      <w:pPr>
        <w:tabs>
          <w:tab w:val="num" w:pos="2880"/>
        </w:tabs>
        <w:ind w:left="2880" w:hanging="360"/>
      </w:pPr>
      <w:rPr>
        <w:rFonts w:ascii="Arial" w:hAnsi="Arial" w:hint="default"/>
      </w:rPr>
    </w:lvl>
    <w:lvl w:ilvl="4" w:tplc="8C8C6400" w:tentative="1">
      <w:start w:val="1"/>
      <w:numFmt w:val="bullet"/>
      <w:lvlText w:val="•"/>
      <w:lvlJc w:val="left"/>
      <w:pPr>
        <w:tabs>
          <w:tab w:val="num" w:pos="3600"/>
        </w:tabs>
        <w:ind w:left="3600" w:hanging="360"/>
      </w:pPr>
      <w:rPr>
        <w:rFonts w:ascii="Arial" w:hAnsi="Arial" w:hint="default"/>
      </w:rPr>
    </w:lvl>
    <w:lvl w:ilvl="5" w:tplc="ED567A94" w:tentative="1">
      <w:start w:val="1"/>
      <w:numFmt w:val="bullet"/>
      <w:lvlText w:val="•"/>
      <w:lvlJc w:val="left"/>
      <w:pPr>
        <w:tabs>
          <w:tab w:val="num" w:pos="4320"/>
        </w:tabs>
        <w:ind w:left="4320" w:hanging="360"/>
      </w:pPr>
      <w:rPr>
        <w:rFonts w:ascii="Arial" w:hAnsi="Arial" w:hint="default"/>
      </w:rPr>
    </w:lvl>
    <w:lvl w:ilvl="6" w:tplc="20EAFC68" w:tentative="1">
      <w:start w:val="1"/>
      <w:numFmt w:val="bullet"/>
      <w:lvlText w:val="•"/>
      <w:lvlJc w:val="left"/>
      <w:pPr>
        <w:tabs>
          <w:tab w:val="num" w:pos="5040"/>
        </w:tabs>
        <w:ind w:left="5040" w:hanging="360"/>
      </w:pPr>
      <w:rPr>
        <w:rFonts w:ascii="Arial" w:hAnsi="Arial" w:hint="default"/>
      </w:rPr>
    </w:lvl>
    <w:lvl w:ilvl="7" w:tplc="A81EFFB6" w:tentative="1">
      <w:start w:val="1"/>
      <w:numFmt w:val="bullet"/>
      <w:lvlText w:val="•"/>
      <w:lvlJc w:val="left"/>
      <w:pPr>
        <w:tabs>
          <w:tab w:val="num" w:pos="5760"/>
        </w:tabs>
        <w:ind w:left="5760" w:hanging="360"/>
      </w:pPr>
      <w:rPr>
        <w:rFonts w:ascii="Arial" w:hAnsi="Arial" w:hint="default"/>
      </w:rPr>
    </w:lvl>
    <w:lvl w:ilvl="8" w:tplc="89E45A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5567C1"/>
    <w:multiLevelType w:val="hybridMultilevel"/>
    <w:tmpl w:val="2B4A4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DF20D9"/>
    <w:multiLevelType w:val="hybridMultilevel"/>
    <w:tmpl w:val="947E1B66"/>
    <w:lvl w:ilvl="0" w:tplc="7C24026E">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3E5B02"/>
    <w:multiLevelType w:val="hybridMultilevel"/>
    <w:tmpl w:val="4B986D8C"/>
    <w:lvl w:ilvl="0" w:tplc="D256B1D8">
      <w:start w:val="6"/>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78D72A8E"/>
    <w:multiLevelType w:val="hybridMultilevel"/>
    <w:tmpl w:val="020E34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num>
  <w:num w:numId="4">
    <w:abstractNumId w:val="3"/>
  </w:num>
  <w:num w:numId="5">
    <w:abstractNumId w:val="7"/>
  </w:num>
  <w:num w:numId="6">
    <w:abstractNumId w:val="1"/>
  </w:num>
  <w:num w:numId="7">
    <w:abstractNumId w:val="0"/>
  </w:num>
  <w:num w:numId="8">
    <w:abstractNumId w:val="8"/>
  </w:num>
  <w:num w:numId="9">
    <w:abstractNumId w:val="5"/>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8B"/>
    <w:rsid w:val="0000173D"/>
    <w:rsid w:val="00044927"/>
    <w:rsid w:val="000468D6"/>
    <w:rsid w:val="00057C8D"/>
    <w:rsid w:val="0006401C"/>
    <w:rsid w:val="00067330"/>
    <w:rsid w:val="000725FE"/>
    <w:rsid w:val="00074643"/>
    <w:rsid w:val="00077F2D"/>
    <w:rsid w:val="0008226F"/>
    <w:rsid w:val="00096F94"/>
    <w:rsid w:val="000E2B7A"/>
    <w:rsid w:val="000F4C6E"/>
    <w:rsid w:val="0010677A"/>
    <w:rsid w:val="001113EE"/>
    <w:rsid w:val="00117B88"/>
    <w:rsid w:val="001219F5"/>
    <w:rsid w:val="001305C3"/>
    <w:rsid w:val="00140BC5"/>
    <w:rsid w:val="001602CA"/>
    <w:rsid w:val="00163B5D"/>
    <w:rsid w:val="00165813"/>
    <w:rsid w:val="00174DE7"/>
    <w:rsid w:val="001877D0"/>
    <w:rsid w:val="001965C2"/>
    <w:rsid w:val="001B6C8F"/>
    <w:rsid w:val="001C02E4"/>
    <w:rsid w:val="001C633F"/>
    <w:rsid w:val="001F3276"/>
    <w:rsid w:val="00222279"/>
    <w:rsid w:val="00247AA5"/>
    <w:rsid w:val="0025149B"/>
    <w:rsid w:val="00252BD9"/>
    <w:rsid w:val="00261A0D"/>
    <w:rsid w:val="00284F71"/>
    <w:rsid w:val="002979D6"/>
    <w:rsid w:val="002A139C"/>
    <w:rsid w:val="002C0046"/>
    <w:rsid w:val="002C65D6"/>
    <w:rsid w:val="002D4A91"/>
    <w:rsid w:val="002E3A4E"/>
    <w:rsid w:val="003016D3"/>
    <w:rsid w:val="00314793"/>
    <w:rsid w:val="00325208"/>
    <w:rsid w:val="00344FA3"/>
    <w:rsid w:val="0035456D"/>
    <w:rsid w:val="003649F5"/>
    <w:rsid w:val="00387523"/>
    <w:rsid w:val="003A3173"/>
    <w:rsid w:val="003A7F24"/>
    <w:rsid w:val="003C7E93"/>
    <w:rsid w:val="003D6244"/>
    <w:rsid w:val="003E1FF2"/>
    <w:rsid w:val="0042156F"/>
    <w:rsid w:val="00430E6F"/>
    <w:rsid w:val="00454054"/>
    <w:rsid w:val="00495C44"/>
    <w:rsid w:val="004E0AB3"/>
    <w:rsid w:val="004F4D74"/>
    <w:rsid w:val="00501EB1"/>
    <w:rsid w:val="005265FD"/>
    <w:rsid w:val="00527B86"/>
    <w:rsid w:val="00541727"/>
    <w:rsid w:val="00543CE4"/>
    <w:rsid w:val="00544C18"/>
    <w:rsid w:val="00552814"/>
    <w:rsid w:val="00573D07"/>
    <w:rsid w:val="00587ACA"/>
    <w:rsid w:val="005C0062"/>
    <w:rsid w:val="00611456"/>
    <w:rsid w:val="00620159"/>
    <w:rsid w:val="0063384A"/>
    <w:rsid w:val="00652768"/>
    <w:rsid w:val="0068420E"/>
    <w:rsid w:val="006933E0"/>
    <w:rsid w:val="00694FF9"/>
    <w:rsid w:val="006B00B5"/>
    <w:rsid w:val="007130AB"/>
    <w:rsid w:val="007210C6"/>
    <w:rsid w:val="00722345"/>
    <w:rsid w:val="00730CB5"/>
    <w:rsid w:val="00731413"/>
    <w:rsid w:val="0073373A"/>
    <w:rsid w:val="00756C6C"/>
    <w:rsid w:val="00770FB7"/>
    <w:rsid w:val="007F4A7F"/>
    <w:rsid w:val="00816075"/>
    <w:rsid w:val="00827057"/>
    <w:rsid w:val="00866E6C"/>
    <w:rsid w:val="00887639"/>
    <w:rsid w:val="008B5AC7"/>
    <w:rsid w:val="008C0AB0"/>
    <w:rsid w:val="008C531D"/>
    <w:rsid w:val="008E3D1A"/>
    <w:rsid w:val="00903068"/>
    <w:rsid w:val="00916CF4"/>
    <w:rsid w:val="00931AEC"/>
    <w:rsid w:val="00937AD8"/>
    <w:rsid w:val="00955BA5"/>
    <w:rsid w:val="009628C8"/>
    <w:rsid w:val="00964D92"/>
    <w:rsid w:val="00973F68"/>
    <w:rsid w:val="00990ABC"/>
    <w:rsid w:val="009A69ED"/>
    <w:rsid w:val="009A7ED2"/>
    <w:rsid w:val="009C3768"/>
    <w:rsid w:val="009D5A3D"/>
    <w:rsid w:val="009D7367"/>
    <w:rsid w:val="009E0362"/>
    <w:rsid w:val="009F09B0"/>
    <w:rsid w:val="00A3070A"/>
    <w:rsid w:val="00A31596"/>
    <w:rsid w:val="00A3314E"/>
    <w:rsid w:val="00A35768"/>
    <w:rsid w:val="00A44D89"/>
    <w:rsid w:val="00A64CDB"/>
    <w:rsid w:val="00AA7F74"/>
    <w:rsid w:val="00AC49BB"/>
    <w:rsid w:val="00AD7061"/>
    <w:rsid w:val="00AE0080"/>
    <w:rsid w:val="00AF420B"/>
    <w:rsid w:val="00B0494E"/>
    <w:rsid w:val="00B14FAC"/>
    <w:rsid w:val="00B47262"/>
    <w:rsid w:val="00BA34E8"/>
    <w:rsid w:val="00BA7996"/>
    <w:rsid w:val="00BC5BE5"/>
    <w:rsid w:val="00BD2EE7"/>
    <w:rsid w:val="00BD6DBF"/>
    <w:rsid w:val="00C0606D"/>
    <w:rsid w:val="00C2410D"/>
    <w:rsid w:val="00C260E8"/>
    <w:rsid w:val="00C3076B"/>
    <w:rsid w:val="00C37986"/>
    <w:rsid w:val="00C50CD3"/>
    <w:rsid w:val="00C71B45"/>
    <w:rsid w:val="00C772D0"/>
    <w:rsid w:val="00C819C9"/>
    <w:rsid w:val="00CA011B"/>
    <w:rsid w:val="00CC5838"/>
    <w:rsid w:val="00CD26DC"/>
    <w:rsid w:val="00CD71B8"/>
    <w:rsid w:val="00CF50CA"/>
    <w:rsid w:val="00CF55B1"/>
    <w:rsid w:val="00D027D8"/>
    <w:rsid w:val="00D27016"/>
    <w:rsid w:val="00D62A51"/>
    <w:rsid w:val="00D8003D"/>
    <w:rsid w:val="00D86A8D"/>
    <w:rsid w:val="00D951FB"/>
    <w:rsid w:val="00DB1E53"/>
    <w:rsid w:val="00DC06E1"/>
    <w:rsid w:val="00DD5F34"/>
    <w:rsid w:val="00DE0DC1"/>
    <w:rsid w:val="00DF3929"/>
    <w:rsid w:val="00DF583F"/>
    <w:rsid w:val="00DF6824"/>
    <w:rsid w:val="00E02EB8"/>
    <w:rsid w:val="00E040AD"/>
    <w:rsid w:val="00E10A6D"/>
    <w:rsid w:val="00E144F3"/>
    <w:rsid w:val="00E14CE0"/>
    <w:rsid w:val="00E257C2"/>
    <w:rsid w:val="00E410B3"/>
    <w:rsid w:val="00E47111"/>
    <w:rsid w:val="00E96E50"/>
    <w:rsid w:val="00EA1F93"/>
    <w:rsid w:val="00EA748B"/>
    <w:rsid w:val="00EC1022"/>
    <w:rsid w:val="00EC35EC"/>
    <w:rsid w:val="00EE13D2"/>
    <w:rsid w:val="00EF4F87"/>
    <w:rsid w:val="00F05E57"/>
    <w:rsid w:val="00F10822"/>
    <w:rsid w:val="00F53392"/>
    <w:rsid w:val="00F6433A"/>
    <w:rsid w:val="00F74C1B"/>
    <w:rsid w:val="00FA62FC"/>
    <w:rsid w:val="00FB4B43"/>
    <w:rsid w:val="00FB6DB5"/>
    <w:rsid w:val="00FC07EE"/>
    <w:rsid w:val="00FC64FC"/>
    <w:rsid w:val="00FC76EB"/>
    <w:rsid w:val="00FD3029"/>
    <w:rsid w:val="00FD7747"/>
    <w:rsid w:val="00FD7D0E"/>
    <w:rsid w:val="00FF3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488129-DF75-4F3A-BE2E-F42D724D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Liststycke"/>
    <w:next w:val="Normal"/>
    <w:link w:val="Rubrik1Char"/>
    <w:qFormat/>
    <w:rsid w:val="0025149B"/>
    <w:pPr>
      <w:spacing w:after="0"/>
      <w:ind w:left="0"/>
      <w:contextualSpacing w:val="0"/>
      <w:outlineLvl w:val="0"/>
    </w:pPr>
    <w:rPr>
      <w:rFonts w:ascii="Arial" w:eastAsia="Calibri" w:hAnsi="Arial" w:cs="Arial"/>
      <w:b/>
      <w:sz w:val="2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EA74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EA748B"/>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3D6244"/>
    <w:rPr>
      <w:color w:val="0000FF" w:themeColor="hyperlink"/>
      <w:u w:val="single"/>
    </w:rPr>
  </w:style>
  <w:style w:type="paragraph" w:styleId="Sidhuvud">
    <w:name w:val="header"/>
    <w:basedOn w:val="Normal"/>
    <w:link w:val="SidhuvudChar"/>
    <w:uiPriority w:val="99"/>
    <w:unhideWhenUsed/>
    <w:rsid w:val="000468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68D6"/>
  </w:style>
  <w:style w:type="paragraph" w:styleId="Sidfot">
    <w:name w:val="footer"/>
    <w:basedOn w:val="Normal"/>
    <w:link w:val="SidfotChar"/>
    <w:uiPriority w:val="99"/>
    <w:unhideWhenUsed/>
    <w:rsid w:val="000468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68D6"/>
  </w:style>
  <w:style w:type="paragraph" w:styleId="Liststycke">
    <w:name w:val="List Paragraph"/>
    <w:basedOn w:val="Normal"/>
    <w:uiPriority w:val="34"/>
    <w:qFormat/>
    <w:rsid w:val="00165813"/>
    <w:pPr>
      <w:ind w:left="720"/>
      <w:contextualSpacing/>
    </w:pPr>
  </w:style>
  <w:style w:type="paragraph" w:styleId="Ballongtext">
    <w:name w:val="Balloon Text"/>
    <w:basedOn w:val="Normal"/>
    <w:link w:val="BallongtextChar"/>
    <w:uiPriority w:val="99"/>
    <w:semiHidden/>
    <w:unhideWhenUsed/>
    <w:rsid w:val="00CA01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011B"/>
    <w:rPr>
      <w:rFonts w:ascii="Tahoma" w:hAnsi="Tahoma" w:cs="Tahoma"/>
      <w:sz w:val="16"/>
      <w:szCs w:val="16"/>
    </w:rPr>
  </w:style>
  <w:style w:type="character" w:styleId="Kommentarsreferens">
    <w:name w:val="annotation reference"/>
    <w:basedOn w:val="Standardstycketeckensnitt"/>
    <w:uiPriority w:val="99"/>
    <w:semiHidden/>
    <w:unhideWhenUsed/>
    <w:rsid w:val="00CF55B1"/>
    <w:rPr>
      <w:sz w:val="16"/>
      <w:szCs w:val="16"/>
    </w:rPr>
  </w:style>
  <w:style w:type="paragraph" w:styleId="Kommentarer">
    <w:name w:val="annotation text"/>
    <w:basedOn w:val="Normal"/>
    <w:link w:val="KommentarerChar"/>
    <w:uiPriority w:val="99"/>
    <w:semiHidden/>
    <w:unhideWhenUsed/>
    <w:rsid w:val="00CF55B1"/>
    <w:pPr>
      <w:spacing w:line="240" w:lineRule="auto"/>
    </w:pPr>
    <w:rPr>
      <w:sz w:val="20"/>
      <w:szCs w:val="20"/>
    </w:rPr>
  </w:style>
  <w:style w:type="character" w:customStyle="1" w:styleId="KommentarerChar">
    <w:name w:val="Kommentarer Char"/>
    <w:basedOn w:val="Standardstycketeckensnitt"/>
    <w:link w:val="Kommentarer"/>
    <w:uiPriority w:val="99"/>
    <w:semiHidden/>
    <w:rsid w:val="00CF55B1"/>
    <w:rPr>
      <w:sz w:val="20"/>
      <w:szCs w:val="20"/>
    </w:rPr>
  </w:style>
  <w:style w:type="paragraph" w:styleId="Kommentarsmne">
    <w:name w:val="annotation subject"/>
    <w:basedOn w:val="Kommentarer"/>
    <w:next w:val="Kommentarer"/>
    <w:link w:val="KommentarsmneChar"/>
    <w:uiPriority w:val="99"/>
    <w:semiHidden/>
    <w:unhideWhenUsed/>
    <w:rsid w:val="00CF55B1"/>
    <w:rPr>
      <w:b/>
      <w:bCs/>
    </w:rPr>
  </w:style>
  <w:style w:type="character" w:customStyle="1" w:styleId="KommentarsmneChar">
    <w:name w:val="Kommentarsämne Char"/>
    <w:basedOn w:val="KommentarerChar"/>
    <w:link w:val="Kommentarsmne"/>
    <w:uiPriority w:val="99"/>
    <w:semiHidden/>
    <w:rsid w:val="00CF55B1"/>
    <w:rPr>
      <w:b/>
      <w:bCs/>
      <w:sz w:val="20"/>
      <w:szCs w:val="20"/>
    </w:rPr>
  </w:style>
  <w:style w:type="paragraph" w:customStyle="1" w:styleId="Default">
    <w:name w:val="Default"/>
    <w:basedOn w:val="Normal"/>
    <w:uiPriority w:val="99"/>
    <w:rsid w:val="00527B86"/>
    <w:pPr>
      <w:autoSpaceDE w:val="0"/>
      <w:autoSpaceDN w:val="0"/>
      <w:spacing w:after="0" w:line="240" w:lineRule="auto"/>
    </w:pPr>
    <w:rPr>
      <w:rFonts w:ascii="Arial" w:hAnsi="Arial" w:cs="Arial"/>
      <w:color w:val="000000"/>
      <w:sz w:val="24"/>
      <w:szCs w:val="24"/>
    </w:rPr>
  </w:style>
  <w:style w:type="paragraph" w:styleId="Normalwebb">
    <w:name w:val="Normal (Web)"/>
    <w:basedOn w:val="Normal"/>
    <w:uiPriority w:val="99"/>
    <w:unhideWhenUsed/>
    <w:rsid w:val="00057C8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rsid w:val="0025149B"/>
    <w:rPr>
      <w:rFonts w:ascii="Arial" w:eastAsia="Calibri" w:hAnsi="Arial" w:cs="Arial"/>
      <w:b/>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563">
      <w:bodyDiv w:val="1"/>
      <w:marLeft w:val="0"/>
      <w:marRight w:val="0"/>
      <w:marTop w:val="0"/>
      <w:marBottom w:val="0"/>
      <w:divBdr>
        <w:top w:val="none" w:sz="0" w:space="0" w:color="auto"/>
        <w:left w:val="none" w:sz="0" w:space="0" w:color="auto"/>
        <w:bottom w:val="none" w:sz="0" w:space="0" w:color="auto"/>
        <w:right w:val="none" w:sz="0" w:space="0" w:color="auto"/>
      </w:divBdr>
      <w:divsChild>
        <w:div w:id="586233641">
          <w:marLeft w:val="533"/>
          <w:marRight w:val="0"/>
          <w:marTop w:val="0"/>
          <w:marBottom w:val="210"/>
          <w:divBdr>
            <w:top w:val="none" w:sz="0" w:space="0" w:color="auto"/>
            <w:left w:val="none" w:sz="0" w:space="0" w:color="auto"/>
            <w:bottom w:val="none" w:sz="0" w:space="0" w:color="auto"/>
            <w:right w:val="none" w:sz="0" w:space="0" w:color="auto"/>
          </w:divBdr>
        </w:div>
        <w:div w:id="554658086">
          <w:marLeft w:val="533"/>
          <w:marRight w:val="0"/>
          <w:marTop w:val="0"/>
          <w:marBottom w:val="210"/>
          <w:divBdr>
            <w:top w:val="none" w:sz="0" w:space="0" w:color="auto"/>
            <w:left w:val="none" w:sz="0" w:space="0" w:color="auto"/>
            <w:bottom w:val="none" w:sz="0" w:space="0" w:color="auto"/>
            <w:right w:val="none" w:sz="0" w:space="0" w:color="auto"/>
          </w:divBdr>
        </w:div>
        <w:div w:id="2009745546">
          <w:marLeft w:val="533"/>
          <w:marRight w:val="0"/>
          <w:marTop w:val="0"/>
          <w:marBottom w:val="210"/>
          <w:divBdr>
            <w:top w:val="none" w:sz="0" w:space="0" w:color="auto"/>
            <w:left w:val="none" w:sz="0" w:space="0" w:color="auto"/>
            <w:bottom w:val="none" w:sz="0" w:space="0" w:color="auto"/>
            <w:right w:val="none" w:sz="0" w:space="0" w:color="auto"/>
          </w:divBdr>
        </w:div>
        <w:div w:id="863985071">
          <w:marLeft w:val="533"/>
          <w:marRight w:val="0"/>
          <w:marTop w:val="0"/>
          <w:marBottom w:val="210"/>
          <w:divBdr>
            <w:top w:val="none" w:sz="0" w:space="0" w:color="auto"/>
            <w:left w:val="none" w:sz="0" w:space="0" w:color="auto"/>
            <w:bottom w:val="none" w:sz="0" w:space="0" w:color="auto"/>
            <w:right w:val="none" w:sz="0" w:space="0" w:color="auto"/>
          </w:divBdr>
        </w:div>
        <w:div w:id="1049231770">
          <w:marLeft w:val="533"/>
          <w:marRight w:val="0"/>
          <w:marTop w:val="0"/>
          <w:marBottom w:val="210"/>
          <w:divBdr>
            <w:top w:val="none" w:sz="0" w:space="0" w:color="auto"/>
            <w:left w:val="none" w:sz="0" w:space="0" w:color="auto"/>
            <w:bottom w:val="none" w:sz="0" w:space="0" w:color="auto"/>
            <w:right w:val="none" w:sz="0" w:space="0" w:color="auto"/>
          </w:divBdr>
        </w:div>
      </w:divsChild>
    </w:div>
    <w:div w:id="214122469">
      <w:bodyDiv w:val="1"/>
      <w:marLeft w:val="0"/>
      <w:marRight w:val="0"/>
      <w:marTop w:val="0"/>
      <w:marBottom w:val="0"/>
      <w:divBdr>
        <w:top w:val="none" w:sz="0" w:space="0" w:color="auto"/>
        <w:left w:val="none" w:sz="0" w:space="0" w:color="auto"/>
        <w:bottom w:val="none" w:sz="0" w:space="0" w:color="auto"/>
        <w:right w:val="none" w:sz="0" w:space="0" w:color="auto"/>
      </w:divBdr>
    </w:div>
    <w:div w:id="672807332">
      <w:bodyDiv w:val="1"/>
      <w:marLeft w:val="0"/>
      <w:marRight w:val="0"/>
      <w:marTop w:val="0"/>
      <w:marBottom w:val="0"/>
      <w:divBdr>
        <w:top w:val="none" w:sz="0" w:space="0" w:color="auto"/>
        <w:left w:val="none" w:sz="0" w:space="0" w:color="auto"/>
        <w:bottom w:val="none" w:sz="0" w:space="0" w:color="auto"/>
        <w:right w:val="none" w:sz="0" w:space="0" w:color="auto"/>
      </w:divBdr>
    </w:div>
    <w:div w:id="882979665">
      <w:bodyDiv w:val="1"/>
      <w:marLeft w:val="0"/>
      <w:marRight w:val="0"/>
      <w:marTop w:val="0"/>
      <w:marBottom w:val="0"/>
      <w:divBdr>
        <w:top w:val="none" w:sz="0" w:space="0" w:color="auto"/>
        <w:left w:val="none" w:sz="0" w:space="0" w:color="auto"/>
        <w:bottom w:val="none" w:sz="0" w:space="0" w:color="auto"/>
        <w:right w:val="none" w:sz="0" w:space="0" w:color="auto"/>
      </w:divBdr>
    </w:div>
    <w:div w:id="1090468656">
      <w:bodyDiv w:val="1"/>
      <w:marLeft w:val="0"/>
      <w:marRight w:val="0"/>
      <w:marTop w:val="0"/>
      <w:marBottom w:val="0"/>
      <w:divBdr>
        <w:top w:val="none" w:sz="0" w:space="0" w:color="auto"/>
        <w:left w:val="none" w:sz="0" w:space="0" w:color="auto"/>
        <w:bottom w:val="none" w:sz="0" w:space="0" w:color="auto"/>
        <w:right w:val="none" w:sz="0" w:space="0" w:color="auto"/>
      </w:divBdr>
    </w:div>
    <w:div w:id="1380743474">
      <w:bodyDiv w:val="1"/>
      <w:marLeft w:val="0"/>
      <w:marRight w:val="0"/>
      <w:marTop w:val="0"/>
      <w:marBottom w:val="0"/>
      <w:divBdr>
        <w:top w:val="none" w:sz="0" w:space="0" w:color="auto"/>
        <w:left w:val="none" w:sz="0" w:space="0" w:color="auto"/>
        <w:bottom w:val="none" w:sz="0" w:space="0" w:color="auto"/>
        <w:right w:val="none" w:sz="0" w:space="0" w:color="auto"/>
      </w:divBdr>
    </w:div>
    <w:div w:id="1412043465">
      <w:bodyDiv w:val="1"/>
      <w:marLeft w:val="0"/>
      <w:marRight w:val="0"/>
      <w:marTop w:val="0"/>
      <w:marBottom w:val="0"/>
      <w:divBdr>
        <w:top w:val="none" w:sz="0" w:space="0" w:color="auto"/>
        <w:left w:val="none" w:sz="0" w:space="0" w:color="auto"/>
        <w:bottom w:val="none" w:sz="0" w:space="0" w:color="auto"/>
        <w:right w:val="none" w:sz="0" w:space="0" w:color="auto"/>
      </w:divBdr>
    </w:div>
    <w:div w:id="1467119383">
      <w:bodyDiv w:val="1"/>
      <w:marLeft w:val="0"/>
      <w:marRight w:val="0"/>
      <w:marTop w:val="0"/>
      <w:marBottom w:val="0"/>
      <w:divBdr>
        <w:top w:val="none" w:sz="0" w:space="0" w:color="auto"/>
        <w:left w:val="none" w:sz="0" w:space="0" w:color="auto"/>
        <w:bottom w:val="none" w:sz="0" w:space="0" w:color="auto"/>
        <w:right w:val="none" w:sz="0" w:space="0" w:color="auto"/>
      </w:divBdr>
    </w:div>
    <w:div w:id="1516770164">
      <w:bodyDiv w:val="1"/>
      <w:marLeft w:val="0"/>
      <w:marRight w:val="0"/>
      <w:marTop w:val="0"/>
      <w:marBottom w:val="0"/>
      <w:divBdr>
        <w:top w:val="none" w:sz="0" w:space="0" w:color="auto"/>
        <w:left w:val="none" w:sz="0" w:space="0" w:color="auto"/>
        <w:bottom w:val="none" w:sz="0" w:space="0" w:color="auto"/>
        <w:right w:val="none" w:sz="0" w:space="0" w:color="auto"/>
      </w:divBdr>
    </w:div>
    <w:div w:id="1631352282">
      <w:bodyDiv w:val="1"/>
      <w:marLeft w:val="0"/>
      <w:marRight w:val="0"/>
      <w:marTop w:val="0"/>
      <w:marBottom w:val="0"/>
      <w:divBdr>
        <w:top w:val="none" w:sz="0" w:space="0" w:color="auto"/>
        <w:left w:val="none" w:sz="0" w:space="0" w:color="auto"/>
        <w:bottom w:val="none" w:sz="0" w:space="0" w:color="auto"/>
        <w:right w:val="none" w:sz="0" w:space="0" w:color="auto"/>
      </w:divBdr>
    </w:div>
    <w:div w:id="21425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C4B3-A659-4A2E-9612-4F2F1FBB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5772</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Kvist Ingrid HS</dc:creator>
  <cp:lastModifiedBy>Engvall Britta RK HÄLSO- OCH SJUKVÅRD</cp:lastModifiedBy>
  <cp:revision>2</cp:revision>
  <cp:lastPrinted>2018-02-07T11:27:00Z</cp:lastPrinted>
  <dcterms:created xsi:type="dcterms:W3CDTF">2019-02-05T15:24:00Z</dcterms:created>
  <dcterms:modified xsi:type="dcterms:W3CDTF">2019-02-05T15:24:00Z</dcterms:modified>
</cp:coreProperties>
</file>