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356D" w:rsidR="0056219C" w:rsidP="0056219C" w:rsidRDefault="0056219C" w14:paraId="651C6771" w14:textId="7192971A">
      <w:pPr>
        <w:pStyle w:val="Title"/>
        <w:rPr>
          <w:sz w:val="28"/>
          <w:szCs w:val="28"/>
        </w:rPr>
      </w:pPr>
      <w:r w:rsidRPr="0057356D">
        <w:t>Handläggning av accidentellt upptäckta noduli på lunga i Region Halland</w:t>
      </w:r>
    </w:p>
    <w:p w:rsidRPr="0057356D" w:rsidR="00986E04" w:rsidP="00986E04" w:rsidRDefault="00986E04" w14:paraId="35CD0A02" w14:textId="77777777"/>
    <w:p w:rsidRPr="0057356D" w:rsidR="00986E04" w:rsidP="00986E04" w:rsidRDefault="00986E04" w14:paraId="6893F93A" w14:textId="77777777">
      <w:pPr>
        <w:pBdr>
          <w:bottom w:val="single" w:color="auto" w:sz="6" w:space="1"/>
        </w:pBdr>
        <w:rPr>
          <w:b/>
        </w:rPr>
      </w:pPr>
      <w:bookmarkStart w:name="_Toc328994705" w:id="0"/>
      <w:bookmarkStart w:name="_Toc338760453" w:id="1"/>
      <w:bookmarkStart w:name="_Toc338760517" w:id="2"/>
    </w:p>
    <w:p w:rsidRPr="0057356D" w:rsidR="00986E04" w:rsidP="00986E04" w:rsidRDefault="00986E04" w14:paraId="0FCD248D" w14:textId="77777777">
      <w:pPr>
        <w:rPr>
          <w:b/>
        </w:rPr>
      </w:pPr>
    </w:p>
    <w:p w:rsidRPr="0057356D" w:rsidR="00986E04" w:rsidP="00986E04" w:rsidRDefault="00986E04" w14:paraId="4C000013" w14:textId="77777777">
      <w:pPr>
        <w:rPr>
          <w:b/>
        </w:rPr>
      </w:pPr>
      <w:r w:rsidRPr="0057356D">
        <w:rPr>
          <w:b/>
        </w:rPr>
        <w:t>Hitta i dokumentet</w:t>
      </w:r>
    </w:p>
    <w:p w:rsidRPr="0057356D" w:rsidR="00986E04" w:rsidP="00986E04" w:rsidRDefault="00986E04" w14:paraId="370FC45A" w14:textId="77777777">
      <w:pPr>
        <w:rPr>
          <w:b/>
        </w:rPr>
      </w:pPr>
    </w:p>
    <w:p w:rsidRPr="0057356D" w:rsidR="00986E04" w:rsidP="00986E04" w:rsidRDefault="00986E04" w14:paraId="72EC764D" w14:textId="77777777">
      <w:pPr>
        <w:rPr>
          <w:b/>
          <w:szCs w:val="22"/>
        </w:rPr>
        <w:sectPr w:rsidRPr="0057356D" w:rsidR="00986E04"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Pr="0057356D" w:rsidR="00FA22EF" w:rsidRDefault="00986E04" w14:paraId="6934DBFB" w14:textId="5DC0EA6D">
      <w:pPr>
        <w:pStyle w:val="TOC1"/>
        <w:rPr>
          <w:rFonts w:eastAsiaTheme="minorEastAsia"/>
          <w:color w:val="auto"/>
          <w:sz w:val="22"/>
          <w:szCs w:val="22"/>
          <w:u w:val="none"/>
        </w:rPr>
      </w:pPr>
      <w:r w:rsidRPr="0057356D">
        <w:rPr>
          <w:sz w:val="22"/>
          <w:szCs w:val="22"/>
        </w:rPr>
        <w:fldChar w:fldCharType="begin"/>
      </w:r>
      <w:r w:rsidRPr="0057356D">
        <w:rPr>
          <w:sz w:val="22"/>
          <w:szCs w:val="22"/>
        </w:rPr>
        <w:instrText xml:space="preserve"> TOC \o "1-1" \n \h \z \u </w:instrText>
      </w:r>
      <w:r w:rsidRPr="0057356D">
        <w:rPr>
          <w:sz w:val="22"/>
          <w:szCs w:val="22"/>
        </w:rPr>
        <w:fldChar w:fldCharType="separate"/>
      </w:r>
      <w:hyperlink w:history="1" w:anchor="_Toc114733052">
        <w:r w:rsidRPr="0057356D" w:rsidR="00FA22EF">
          <w:rPr>
            <w:rStyle w:val="Hyperlink"/>
            <w:sz w:val="22"/>
            <w:szCs w:val="22"/>
          </w:rPr>
          <w:t>Syfte</w:t>
        </w:r>
      </w:hyperlink>
    </w:p>
    <w:p w:rsidRPr="0057356D" w:rsidR="00FA22EF" w:rsidRDefault="0088273A" w14:paraId="2BE8214C" w14:textId="6CD3BA5A">
      <w:pPr>
        <w:pStyle w:val="TOC1"/>
        <w:rPr>
          <w:rFonts w:eastAsiaTheme="minorEastAsia"/>
          <w:color w:val="auto"/>
          <w:sz w:val="22"/>
          <w:szCs w:val="22"/>
          <w:u w:val="none"/>
        </w:rPr>
      </w:pPr>
      <w:hyperlink w:history="1" w:anchor="_Toc114733053">
        <w:r w:rsidRPr="0057356D" w:rsidR="00FA22EF">
          <w:rPr>
            <w:rStyle w:val="Hyperlink"/>
            <w:sz w:val="22"/>
            <w:szCs w:val="22"/>
          </w:rPr>
          <w:t>Bakgrund</w:t>
        </w:r>
      </w:hyperlink>
    </w:p>
    <w:p w:rsidRPr="0057356D" w:rsidR="00FA22EF" w:rsidRDefault="0088273A" w14:paraId="035236C8" w14:textId="6880B96C">
      <w:pPr>
        <w:pStyle w:val="TOC1"/>
        <w:rPr>
          <w:rFonts w:eastAsiaTheme="minorEastAsia"/>
          <w:color w:val="auto"/>
          <w:sz w:val="22"/>
          <w:szCs w:val="22"/>
          <w:u w:val="none"/>
        </w:rPr>
      </w:pPr>
      <w:hyperlink w:history="1" w:anchor="_Toc114733054">
        <w:r w:rsidRPr="0057356D" w:rsidR="00FA22EF">
          <w:rPr>
            <w:rStyle w:val="Hyperlink"/>
            <w:sz w:val="22"/>
            <w:szCs w:val="22"/>
          </w:rPr>
          <w:t>Genomförande</w:t>
        </w:r>
      </w:hyperlink>
    </w:p>
    <w:p w:rsidRPr="0057356D" w:rsidR="00FA22EF" w:rsidRDefault="0088273A" w14:paraId="040C45CA" w14:textId="65975706">
      <w:pPr>
        <w:pStyle w:val="TOC1"/>
        <w:rPr>
          <w:rFonts w:eastAsiaTheme="minorEastAsia"/>
          <w:color w:val="auto"/>
          <w:sz w:val="22"/>
          <w:szCs w:val="22"/>
          <w:u w:val="none"/>
        </w:rPr>
      </w:pPr>
      <w:hyperlink w:history="1" w:anchor="_Toc114733055">
        <w:r w:rsidRPr="0057356D" w:rsidR="00FA22EF">
          <w:rPr>
            <w:rStyle w:val="Hyperlink"/>
            <w:sz w:val="22"/>
            <w:szCs w:val="22"/>
          </w:rPr>
          <w:t>Radiologi</w:t>
        </w:r>
      </w:hyperlink>
    </w:p>
    <w:p w:rsidRPr="0057356D" w:rsidR="00FA22EF" w:rsidRDefault="0088273A" w14:paraId="65DE1386" w14:textId="62ABB433">
      <w:pPr>
        <w:pStyle w:val="TOC1"/>
        <w:rPr>
          <w:rFonts w:eastAsiaTheme="minorEastAsia"/>
          <w:color w:val="auto"/>
          <w:sz w:val="22"/>
          <w:szCs w:val="22"/>
          <w:u w:val="none"/>
        </w:rPr>
      </w:pPr>
      <w:hyperlink w:history="1" w:anchor="_Toc114733056">
        <w:r w:rsidRPr="0057356D" w:rsidR="00FA22EF">
          <w:rPr>
            <w:rStyle w:val="Hyperlink"/>
            <w:sz w:val="22"/>
            <w:szCs w:val="22"/>
          </w:rPr>
          <w:t>Närsjukvård</w:t>
        </w:r>
      </w:hyperlink>
    </w:p>
    <w:p w:rsidRPr="0057356D" w:rsidR="00FA22EF" w:rsidRDefault="0088273A" w14:paraId="139FF4E8" w14:textId="09788DD6">
      <w:pPr>
        <w:pStyle w:val="TOC1"/>
        <w:rPr>
          <w:rFonts w:eastAsiaTheme="minorEastAsia"/>
          <w:color w:val="auto"/>
          <w:sz w:val="22"/>
          <w:szCs w:val="22"/>
          <w:u w:val="none"/>
        </w:rPr>
      </w:pPr>
      <w:hyperlink w:history="1" w:anchor="_Toc114733057">
        <w:r w:rsidRPr="0057356D" w:rsidR="00FA22EF">
          <w:rPr>
            <w:rStyle w:val="Hyperlink"/>
            <w:sz w:val="22"/>
            <w:szCs w:val="22"/>
          </w:rPr>
          <w:t>Lungmedicin</w:t>
        </w:r>
      </w:hyperlink>
    </w:p>
    <w:p w:rsidRPr="0057356D" w:rsidR="00FA22EF" w:rsidRDefault="0088273A" w14:paraId="7A832EC9" w14:textId="413708F3">
      <w:pPr>
        <w:pStyle w:val="TOC1"/>
        <w:rPr>
          <w:rFonts w:eastAsiaTheme="minorEastAsia"/>
          <w:color w:val="auto"/>
          <w:sz w:val="22"/>
          <w:szCs w:val="22"/>
          <w:u w:val="none"/>
        </w:rPr>
      </w:pPr>
      <w:hyperlink w:history="1" w:anchor="_Toc114733058">
        <w:r w:rsidRPr="0057356D" w:rsidR="00FA22EF">
          <w:rPr>
            <w:rStyle w:val="Hyperlink"/>
            <w:sz w:val="22"/>
            <w:szCs w:val="22"/>
          </w:rPr>
          <w:t>Uppföljning</w:t>
        </w:r>
      </w:hyperlink>
    </w:p>
    <w:p w:rsidRPr="0057356D" w:rsidR="00FA22EF" w:rsidRDefault="0088273A" w14:paraId="15A6D24D" w14:textId="17A55E29">
      <w:pPr>
        <w:pStyle w:val="TOC1"/>
        <w:rPr>
          <w:rFonts w:eastAsiaTheme="minorEastAsia"/>
          <w:color w:val="auto"/>
          <w:sz w:val="22"/>
          <w:szCs w:val="22"/>
          <w:u w:val="none"/>
        </w:rPr>
      </w:pPr>
      <w:hyperlink w:history="1" w:anchor="_Toc114733059">
        <w:r w:rsidRPr="0057356D" w:rsidR="00FA22EF">
          <w:rPr>
            <w:rStyle w:val="Hyperlink"/>
            <w:sz w:val="22"/>
            <w:szCs w:val="22"/>
          </w:rPr>
          <w:t>Uppdaterat från föregående version</w:t>
        </w:r>
      </w:hyperlink>
    </w:p>
    <w:p w:rsidRPr="0057356D" w:rsidR="00FA22EF" w:rsidRDefault="0088273A" w14:paraId="3BDEA26C" w14:textId="09B5AC5B">
      <w:pPr>
        <w:pStyle w:val="TOC1"/>
        <w:rPr>
          <w:rFonts w:eastAsiaTheme="minorEastAsia"/>
          <w:color w:val="auto"/>
          <w:sz w:val="22"/>
          <w:szCs w:val="22"/>
          <w:u w:val="none"/>
        </w:rPr>
      </w:pPr>
      <w:hyperlink w:history="1" w:anchor="_Toc114733060">
        <w:r w:rsidRPr="0057356D" w:rsidR="00FA22EF">
          <w:rPr>
            <w:rStyle w:val="Hyperlink"/>
            <w:sz w:val="22"/>
            <w:szCs w:val="22"/>
          </w:rPr>
          <w:t>Bilaga 1</w:t>
        </w:r>
      </w:hyperlink>
    </w:p>
    <w:p w:rsidRPr="0057356D" w:rsidR="00FA22EF" w:rsidRDefault="0088273A" w14:paraId="6709E9E4" w14:textId="6F86E9E8">
      <w:pPr>
        <w:pStyle w:val="TOC1"/>
        <w:rPr>
          <w:rFonts w:eastAsiaTheme="minorEastAsia"/>
          <w:color w:val="auto"/>
          <w:sz w:val="22"/>
          <w:szCs w:val="22"/>
          <w:u w:val="none"/>
        </w:rPr>
      </w:pPr>
      <w:hyperlink w:history="1" w:anchor="_Toc114733061">
        <w:r w:rsidRPr="0057356D" w:rsidR="00FA22EF">
          <w:rPr>
            <w:rStyle w:val="Hyperlink"/>
            <w:sz w:val="22"/>
            <w:szCs w:val="22"/>
          </w:rPr>
          <w:t>Förenklat prickschema Region Halland</w:t>
        </w:r>
      </w:hyperlink>
    </w:p>
    <w:p w:rsidRPr="0057356D" w:rsidR="00986E04" w:rsidP="00986E04" w:rsidRDefault="00986E04" w14:paraId="2AF7B6F5" w14:textId="025EB5CF">
      <w:pPr>
        <w:pStyle w:val="TOC1"/>
        <w:rPr>
          <w:sz w:val="22"/>
          <w:szCs w:val="22"/>
        </w:rPr>
      </w:pPr>
      <w:r w:rsidRPr="0057356D">
        <w:rPr>
          <w:sz w:val="22"/>
          <w:szCs w:val="22"/>
        </w:rPr>
        <w:fldChar w:fldCharType="end"/>
      </w:r>
    </w:p>
    <w:p w:rsidRPr="0057356D" w:rsidR="00986E04" w:rsidP="00986E04" w:rsidRDefault="00986E04" w14:paraId="7C32A5EC" w14:textId="77777777">
      <w:pPr>
        <w:rPr>
          <w:szCs w:val="22"/>
        </w:rPr>
        <w:sectPr w:rsidRPr="0057356D" w:rsidR="00986E04" w:rsidSect="000636E3">
          <w:type w:val="continuous"/>
          <w:pgSz w:w="11906" w:h="16838" w:code="9"/>
          <w:pgMar w:top="1758" w:right="1418" w:bottom="1701" w:left="1418" w:header="567" w:footer="964" w:gutter="0"/>
          <w:cols w:space="720" w:num="2" w:sep="1"/>
          <w:docGrid w:linePitch="272"/>
        </w:sectPr>
      </w:pPr>
    </w:p>
    <w:p w:rsidRPr="0057356D" w:rsidR="00986E04" w:rsidP="00986E04" w:rsidRDefault="00986E04" w14:paraId="3E145588" w14:textId="77777777">
      <w:pPr>
        <w:rPr>
          <w:b/>
          <w:szCs w:val="22"/>
        </w:rPr>
      </w:pPr>
      <w:r w:rsidRPr="0057356D">
        <w:rPr>
          <w:b/>
          <w:noProof/>
          <w:szCs w:val="22"/>
        </w:rPr>
        <mc:AlternateContent>
          <mc:Choice Requires="wps">
            <w:drawing>
              <wp:anchor distT="0" distB="0" distL="114300" distR="114300" simplePos="0" relativeHeight="251659264" behindDoc="0" locked="0" layoutInCell="1" allowOverlap="1" wp14:editId="7828F8DF" wp14:anchorId="2C7AA56C">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0BA9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p w:rsidRPr="0057356D" w:rsidR="00986E04" w:rsidP="00986E04" w:rsidRDefault="00986E04" w14:paraId="4A904205" w14:textId="77777777">
      <w:bookmarkStart w:name="_Toc338760454" w:id="3"/>
      <w:bookmarkStart w:name="_Toc338760518" w:id="4"/>
      <w:bookmarkStart w:name="_Toc338760584" w:id="5"/>
      <w:bookmarkStart w:name="_Toc338760600" w:id="6"/>
      <w:bookmarkStart w:name="_Toc338760609" w:id="7"/>
      <w:bookmarkEnd w:id="0"/>
      <w:bookmarkEnd w:id="1"/>
      <w:bookmarkEnd w:id="2"/>
    </w:p>
    <w:p w:rsidRPr="0057356D" w:rsidR="00652CEE" w:rsidP="00652CEE" w:rsidRDefault="00652CEE" w14:paraId="19F5DF63" w14:textId="77777777">
      <w:pPr>
        <w:pStyle w:val="Heading1"/>
      </w:pPr>
      <w:bookmarkStart w:name="_Toc358181225" w:id="8"/>
      <w:bookmarkStart w:name="_Toc511716115" w:id="9"/>
      <w:bookmarkStart w:name="_Toc114733052" w:id="10"/>
      <w:bookmarkEnd w:id="3"/>
      <w:bookmarkEnd w:id="4"/>
      <w:bookmarkEnd w:id="5"/>
      <w:bookmarkEnd w:id="6"/>
      <w:bookmarkEnd w:id="7"/>
      <w:r w:rsidRPr="0057356D">
        <w:t>Syfte</w:t>
      </w:r>
      <w:bookmarkEnd w:id="8"/>
      <w:bookmarkEnd w:id="9"/>
      <w:bookmarkEnd w:id="10"/>
    </w:p>
    <w:p w:rsidRPr="0057356D" w:rsidR="00652CEE" w:rsidP="00652CEE" w:rsidRDefault="00652CEE" w14:paraId="088787E0" w14:textId="77777777">
      <w:pPr>
        <w:rPr>
          <w:szCs w:val="22"/>
        </w:rPr>
      </w:pPr>
      <w:r w:rsidRPr="0057356D">
        <w:rPr>
          <w:szCs w:val="22"/>
        </w:rPr>
        <w:t>Syftet med detta dokument är att beskriva omhändertagandet av accidentellt upptäckta i lungorna för patienter som är 35 år eller äldre i Region Halland.</w:t>
      </w:r>
    </w:p>
    <w:p w:rsidRPr="0057356D" w:rsidR="00652CEE" w:rsidP="00652CEE" w:rsidRDefault="00652CEE" w14:paraId="5274449C" w14:textId="77777777">
      <w:pPr>
        <w:rPr>
          <w:szCs w:val="22"/>
        </w:rPr>
      </w:pPr>
    </w:p>
    <w:p w:rsidRPr="0057356D" w:rsidR="00652CEE" w:rsidP="00652CEE" w:rsidRDefault="00652CEE" w14:paraId="51790344" w14:textId="77777777">
      <w:pPr>
        <w:rPr>
          <w:szCs w:val="22"/>
        </w:rPr>
      </w:pPr>
      <w:r w:rsidRPr="0057356D">
        <w:rPr>
          <w:szCs w:val="22"/>
        </w:rPr>
        <w:t xml:space="preserve">Dokumentet ska säkerställa att handläggningen av accidentellt upptäckta noduli i lungorna följs upp enligt nationella riktlinjer </w:t>
      </w:r>
      <w:hyperlink w:history="1" r:id="rId18">
        <w:r w:rsidRPr="0057356D">
          <w:rPr>
            <w:rStyle w:val="Hyperlink"/>
            <w:szCs w:val="22"/>
          </w:rPr>
          <w:t>Nationellt vårdprogram lungcancer</w:t>
        </w:r>
      </w:hyperlink>
    </w:p>
    <w:p w:rsidRPr="0057356D" w:rsidR="00652CEE" w:rsidP="00652CEE" w:rsidRDefault="00652CEE" w14:paraId="2A7F2571" w14:textId="77777777"/>
    <w:p w:rsidRPr="0057356D" w:rsidR="00652CEE" w:rsidP="00652CEE" w:rsidRDefault="00652CEE" w14:paraId="6ACC1C71" w14:textId="77777777"/>
    <w:p w:rsidRPr="0057356D" w:rsidR="00652CEE" w:rsidP="00652CEE" w:rsidRDefault="00652CEE" w14:paraId="336C0453" w14:textId="77777777">
      <w:pPr>
        <w:pStyle w:val="Heading1"/>
        <w:rPr>
          <w:color w:val="FF0000"/>
        </w:rPr>
      </w:pPr>
      <w:bookmarkStart w:name="_Toc112067181" w:id="11"/>
      <w:bookmarkStart w:name="_Toc114733053" w:id="12"/>
      <w:r w:rsidRPr="0057356D">
        <w:t>Bakgrund</w:t>
      </w:r>
      <w:bookmarkEnd w:id="11"/>
      <w:bookmarkEnd w:id="12"/>
      <w:r w:rsidRPr="0057356D">
        <w:t xml:space="preserve"> </w:t>
      </w:r>
    </w:p>
    <w:p w:rsidRPr="0057356D" w:rsidR="00652CEE" w:rsidP="00652CEE" w:rsidRDefault="00652CEE" w14:paraId="51EEC5EF" w14:textId="77777777">
      <w:pPr>
        <w:rPr>
          <w:szCs w:val="22"/>
        </w:rPr>
      </w:pPr>
      <w:r w:rsidRPr="0057356D">
        <w:rPr>
          <w:szCs w:val="22"/>
        </w:rPr>
        <w:t xml:space="preserve">DT-undersökning av thorax är numera en rutinundersökning vid många sjukdomstillstånd och ibland upptäcks då ett eller flera noduli som inte har med den aktuella symtomatologin att göra. Uppskattningen är att antal undersökningar med nyupptäckta ospecifika noduli är ca 100/år i Halland. Det finns studier som visar att 2,4 % av dessa visar sig vara cancer efter 1 år.  </w:t>
      </w:r>
    </w:p>
    <w:p w:rsidRPr="0057356D" w:rsidR="00652CEE" w:rsidP="00652CEE" w:rsidRDefault="00652CEE" w14:paraId="502C3D3C" w14:textId="77777777">
      <w:pPr>
        <w:rPr>
          <w:szCs w:val="22"/>
        </w:rPr>
      </w:pPr>
    </w:p>
    <w:p w:rsidRPr="0057356D" w:rsidR="00652CEE" w:rsidP="00652CEE" w:rsidRDefault="00652CEE" w14:paraId="4C3617B7" w14:textId="77777777">
      <w:pPr>
        <w:rPr>
          <w:szCs w:val="22"/>
        </w:rPr>
      </w:pPr>
      <w:r w:rsidRPr="0057356D">
        <w:rPr>
          <w:szCs w:val="22"/>
        </w:rPr>
        <w:t>Regionala cancercentrum i samverkan utkom 2020 med Nationellt vårdprogram för lungcancer. Enligt detta bör accidentellt upptäckta noduli på lungor följas enligt ett särskilt protokoll. Enligt vårdprogrammet kan accidentellt upptäckta lungnoduli ≤8 mm handläggas och följas upp av närsjukvården.</w:t>
      </w:r>
    </w:p>
    <w:p w:rsidRPr="0057356D" w:rsidR="00652CEE" w:rsidP="00652CEE" w:rsidRDefault="00652CEE" w14:paraId="5238970E" w14:textId="77777777"/>
    <w:p w:rsidRPr="0057356D" w:rsidR="00652CEE" w:rsidP="00652CEE" w:rsidRDefault="00652CEE" w14:paraId="6007CA2D" w14:textId="77777777">
      <w:pPr>
        <w:pStyle w:val="Heading1"/>
        <w:rPr>
          <w:color w:val="000000" w:themeColor="text1"/>
        </w:rPr>
      </w:pPr>
      <w:bookmarkStart w:name="_Toc112067182" w:id="13"/>
      <w:bookmarkStart w:name="_Toc114733054" w:id="14"/>
      <w:r w:rsidRPr="0057356D">
        <w:rPr>
          <w:color w:val="000000" w:themeColor="text1"/>
        </w:rPr>
        <w:t>Genomförande</w:t>
      </w:r>
      <w:bookmarkEnd w:id="13"/>
      <w:bookmarkEnd w:id="14"/>
      <w:r w:rsidRPr="0057356D">
        <w:rPr>
          <w:color w:val="000000" w:themeColor="text1"/>
        </w:rPr>
        <w:t xml:space="preserve"> </w:t>
      </w:r>
    </w:p>
    <w:p w:rsidRPr="0057356D" w:rsidR="00652CEE" w:rsidP="00652CEE" w:rsidRDefault="00652CEE" w14:paraId="25E4153D" w14:textId="77777777">
      <w:pPr>
        <w:rPr>
          <w:color w:val="000000" w:themeColor="text1"/>
          <w:szCs w:val="22"/>
        </w:rPr>
      </w:pPr>
      <w:r w:rsidRPr="0057356D">
        <w:rPr>
          <w:color w:val="000000" w:themeColor="text1"/>
          <w:szCs w:val="22"/>
        </w:rPr>
        <w:t xml:space="preserve">När accidentellt upptäckt noduli uppstår på DT ska dessa handläggas på ett enhetligt sätt i Region Halland. I de fall där annan specialist har hittat ett nodulus skickas remiss till berörd distriktsläkare/vårdcentral för uppföljning enligt bilaga 1.  </w:t>
      </w:r>
    </w:p>
    <w:p w:rsidRPr="0057356D" w:rsidR="00652CEE" w:rsidP="00652CEE" w:rsidRDefault="00652CEE" w14:paraId="3A0F866C" w14:textId="77777777">
      <w:pPr>
        <w:rPr>
          <w:color w:val="000000" w:themeColor="text1"/>
          <w:szCs w:val="22"/>
        </w:rPr>
      </w:pPr>
      <w:r w:rsidRPr="0057356D">
        <w:rPr>
          <w:color w:val="000000" w:themeColor="text1"/>
          <w:szCs w:val="22"/>
        </w:rPr>
        <w:t>I princip gäller att radiolog bedömer bilder, primärvårdens läkare följer upp oklara bifynd (i detta fall nodulus på lunga) och lungmedicin utreder misstänkt cancer (nodulus inger malignitetsmisstanke).</w:t>
      </w:r>
    </w:p>
    <w:p w:rsidRPr="0057356D" w:rsidR="00652CEE" w:rsidP="00652CEE" w:rsidRDefault="00652CEE" w14:paraId="00A4BF18" w14:textId="77777777">
      <w:pPr>
        <w:rPr>
          <w:color w:val="000000" w:themeColor="text1"/>
          <w:szCs w:val="22"/>
        </w:rPr>
      </w:pPr>
    </w:p>
    <w:p w:rsidRPr="0057356D" w:rsidR="00652CEE" w:rsidP="00652CEE" w:rsidRDefault="00652CEE" w14:paraId="4B43B7BC" w14:textId="77777777">
      <w:pPr>
        <w:rPr>
          <w:color w:val="000000" w:themeColor="text1"/>
          <w:szCs w:val="22"/>
        </w:rPr>
      </w:pPr>
      <w:r w:rsidRPr="0057356D">
        <w:rPr>
          <w:color w:val="000000" w:themeColor="text1"/>
          <w:szCs w:val="22"/>
        </w:rPr>
        <w:t xml:space="preserve">Schematisk uppställning för handläggning finns i Bilaga. Samma schema gäller för enstaka som multipla noduli, största diameter avgör. Noduli &lt;6 mm behöver inte följas rutinmässigt. Noduli &gt;8 mm (solida) tar lungmedicin hand om. Uppföljningen styrs också av en anamnestisk riskbedömning avseende fram för allt tidigare malignitet och rökning. Aktuella riskfaktorer finns i </w:t>
      </w:r>
      <w:hyperlink w:history="1" w:anchor="_Förenklat_prickschema_Region">
        <w:r w:rsidRPr="0057356D">
          <w:rPr>
            <w:rStyle w:val="Hyperlink"/>
            <w:color w:val="auto"/>
            <w:szCs w:val="22"/>
          </w:rPr>
          <w:t>bilaga 1</w:t>
        </w:r>
      </w:hyperlink>
      <w:r w:rsidRPr="0057356D">
        <w:rPr>
          <w:szCs w:val="22"/>
        </w:rPr>
        <w:t>.</w:t>
      </w:r>
    </w:p>
    <w:p w:rsidRPr="0057356D" w:rsidR="00652CEE" w:rsidP="00652CEE" w:rsidRDefault="00652CEE" w14:paraId="7FEC9417" w14:textId="77777777">
      <w:pPr>
        <w:rPr>
          <w:color w:val="000000" w:themeColor="text1"/>
        </w:rPr>
      </w:pPr>
    </w:p>
    <w:p w:rsidRPr="0057356D" w:rsidR="00652CEE" w:rsidP="00652CEE" w:rsidRDefault="00652CEE" w14:paraId="31FA3822" w14:textId="77777777">
      <w:pPr>
        <w:pStyle w:val="Heading1"/>
      </w:pPr>
      <w:bookmarkStart w:name="_Toc114733055" w:id="15"/>
      <w:r w:rsidRPr="0057356D">
        <w:t>Radiologi</w:t>
      </w:r>
      <w:bookmarkEnd w:id="15"/>
      <w:r w:rsidRPr="0057356D">
        <w:t xml:space="preserve"> </w:t>
      </w:r>
    </w:p>
    <w:p w:rsidRPr="0057356D" w:rsidR="00652CEE" w:rsidP="00652CEE" w:rsidRDefault="00652CEE" w14:paraId="67483AE7" w14:textId="77777777">
      <w:pPr>
        <w:rPr>
          <w:color w:val="000000" w:themeColor="text1"/>
          <w:szCs w:val="22"/>
        </w:rPr>
      </w:pPr>
      <w:r w:rsidRPr="0057356D">
        <w:rPr>
          <w:color w:val="000000" w:themeColor="text1"/>
          <w:szCs w:val="22"/>
        </w:rPr>
        <w:t xml:space="preserve">Radiologens uppgift är att hitta nodulus/noduli och beskriva det/dem på ett standardiserat sätt, och därefter bedöma ev progress. Det rekommenderas att mätningen görs på tunna snitt, &lt;1,5 mm. </w:t>
      </w:r>
    </w:p>
    <w:p w:rsidRPr="0057356D" w:rsidR="00652CEE" w:rsidP="00652CEE" w:rsidRDefault="00652CEE" w14:paraId="5908A5DB" w14:textId="77777777">
      <w:pPr>
        <w:rPr>
          <w:color w:val="000000" w:themeColor="text1"/>
          <w:szCs w:val="22"/>
        </w:rPr>
      </w:pPr>
    </w:p>
    <w:p w:rsidRPr="0057356D" w:rsidR="00652CEE" w:rsidP="00652CEE" w:rsidRDefault="00652CEE" w14:paraId="3BCF98A7" w14:textId="77777777">
      <w:pPr>
        <w:rPr>
          <w:color w:val="000000" w:themeColor="text1"/>
          <w:szCs w:val="22"/>
        </w:rPr>
      </w:pPr>
      <w:r w:rsidRPr="0057356D">
        <w:rPr>
          <w:color w:val="000000" w:themeColor="text1"/>
          <w:szCs w:val="22"/>
        </w:rPr>
        <w:t>Vårdprogrammet skiljer på tre olika utseenden, solid, semisolid och ground glass, var god se bilaga 1. Det är av stor vikt att utlåtandet klargör såväl struktur som storlek och övriga karaktäristika enligt algoritmen i vårdprogrammet. Vid nyupptäckt nodulus bör också hänvisas till uppföljning enligt nationella vårdprogrammet.</w:t>
      </w:r>
    </w:p>
    <w:p w:rsidRPr="0057356D" w:rsidR="00652CEE" w:rsidP="00652CEE" w:rsidRDefault="00652CEE" w14:paraId="26200D32" w14:textId="77777777">
      <w:pPr>
        <w:rPr>
          <w:color w:val="000000" w:themeColor="text1"/>
        </w:rPr>
      </w:pPr>
    </w:p>
    <w:p w:rsidRPr="0057356D" w:rsidR="00652CEE" w:rsidP="00652CEE" w:rsidRDefault="00652CEE" w14:paraId="36A6F86D" w14:textId="77777777">
      <w:pPr>
        <w:pStyle w:val="Heading1"/>
      </w:pPr>
      <w:bookmarkStart w:name="_Toc114733056" w:id="16"/>
      <w:r w:rsidRPr="0057356D">
        <w:t>Närsjukvård</w:t>
      </w:r>
      <w:bookmarkEnd w:id="16"/>
    </w:p>
    <w:p w:rsidRPr="0057356D" w:rsidR="00652CEE" w:rsidP="00652CEE" w:rsidRDefault="00652CEE" w14:paraId="3E954F74" w14:textId="77777777">
      <w:pPr>
        <w:rPr>
          <w:color w:val="000000" w:themeColor="text1"/>
          <w:szCs w:val="22"/>
        </w:rPr>
      </w:pPr>
      <w:r w:rsidRPr="0057356D">
        <w:rPr>
          <w:color w:val="000000" w:themeColor="text1"/>
          <w:szCs w:val="22"/>
        </w:rPr>
        <w:t xml:space="preserve">När svaret går till distriktsläkaren kan denne själv planera uppföljning enligt vårdprogrammet eller kontakta lungkonsult per telefon för en diskussion. Remiss kan också skickas till lungmedicin Hallands sjukhus Halmstad för bedömning. Remissen ska innehålla kortfattad adekvat anamnes såsom uppgift om rökning, tidigare eller nuvarande malignitet mm. Återkoppling sker i form av ett förslag på fortsatt uppföljning. </w:t>
      </w:r>
    </w:p>
    <w:p w:rsidRPr="0057356D" w:rsidR="00652CEE" w:rsidP="00652CEE" w:rsidRDefault="00652CEE" w14:paraId="0115F787" w14:textId="77777777">
      <w:pPr>
        <w:rPr>
          <w:color w:val="000000" w:themeColor="text1"/>
          <w:szCs w:val="22"/>
        </w:rPr>
      </w:pPr>
    </w:p>
    <w:p w:rsidRPr="0057356D" w:rsidR="00652CEE" w:rsidP="00652CEE" w:rsidRDefault="00652CEE" w14:paraId="42C5961D" w14:textId="77777777">
      <w:pPr>
        <w:rPr>
          <w:color w:val="000000" w:themeColor="text1"/>
          <w:szCs w:val="22"/>
        </w:rPr>
      </w:pPr>
      <w:r w:rsidRPr="0057356D">
        <w:rPr>
          <w:color w:val="000000" w:themeColor="text1"/>
          <w:szCs w:val="22"/>
        </w:rPr>
        <w:t>Distriktsläkaren ansvarar för att meddela patienten svaret och skriva ny DT-remiss för kontrollundersökning enligt vårdprogram. Någon ytterligare anamnes och status till de följande remisserna behövs ej, utan prickuppföljningen sker helt oberoende av annan symtomatologi. Svaret kan i de flesta fall ges per brev till patienten. Vid progress eller nytillkommen prick skickas alltid remiss till lungmedicin.</w:t>
      </w:r>
    </w:p>
    <w:p w:rsidRPr="0057356D" w:rsidR="00652CEE" w:rsidP="00652CEE" w:rsidRDefault="00652CEE" w14:paraId="311CA67C" w14:textId="77777777">
      <w:pPr>
        <w:rPr>
          <w:color w:val="000000" w:themeColor="text1"/>
          <w:szCs w:val="22"/>
        </w:rPr>
      </w:pPr>
    </w:p>
    <w:p w:rsidRPr="0057356D" w:rsidR="00652CEE" w:rsidP="00652CEE" w:rsidRDefault="00652CEE" w14:paraId="332BC115" w14:textId="0919A525">
      <w:pPr>
        <w:rPr>
          <w:color w:val="FF0000"/>
          <w:szCs w:val="22"/>
        </w:rPr>
      </w:pPr>
      <w:r w:rsidRPr="0057356D">
        <w:rPr>
          <w:color w:val="000000" w:themeColor="text1"/>
          <w:szCs w:val="22"/>
        </w:rPr>
        <w:t xml:space="preserve">Det är vårdenhetens ansvar att undersökningen blir utförd och att patienten kallas. Vårdenheten har möjlighet att använda sig av väntelista i VAS, se rutin VAS – Bokning patient </w:t>
      </w:r>
      <w:hyperlink w:history="1" r:id="rId19">
        <w:r w:rsidRPr="0057356D">
          <w:rPr>
            <w:rStyle w:val="Hyperlink"/>
            <w:szCs w:val="22"/>
          </w:rPr>
          <w:t>VAS- Bokning patient</w:t>
        </w:r>
      </w:hyperlink>
    </w:p>
    <w:p w:rsidRPr="0057356D" w:rsidR="00652CEE" w:rsidP="00652CEE" w:rsidRDefault="00652CEE" w14:paraId="309B1AE5" w14:textId="77777777">
      <w:pPr>
        <w:rPr>
          <w:color w:val="FF0000"/>
        </w:rPr>
      </w:pPr>
    </w:p>
    <w:p w:rsidRPr="0057356D" w:rsidR="00652CEE" w:rsidP="00652CEE" w:rsidRDefault="00652CEE" w14:paraId="49639BFB" w14:textId="77777777">
      <w:pPr>
        <w:pStyle w:val="Heading1"/>
      </w:pPr>
      <w:bookmarkStart w:name="_Toc114733057" w:id="17"/>
      <w:r w:rsidRPr="0057356D">
        <w:t>Lungmedicin</w:t>
      </w:r>
      <w:bookmarkEnd w:id="17"/>
      <w:r w:rsidRPr="0057356D">
        <w:t xml:space="preserve"> </w:t>
      </w:r>
    </w:p>
    <w:p w:rsidRPr="0057356D" w:rsidR="00652CEE" w:rsidP="0057356D" w:rsidRDefault="00652CEE" w14:paraId="373929EB" w14:textId="3C13E060">
      <w:pPr>
        <w:rPr>
          <w:color w:val="000000" w:themeColor="text1"/>
          <w:szCs w:val="22"/>
        </w:rPr>
      </w:pPr>
      <w:r w:rsidRPr="0057356D">
        <w:rPr>
          <w:color w:val="000000" w:themeColor="text1"/>
          <w:szCs w:val="22"/>
        </w:rPr>
        <w:t>I de fall där remiss har skickats till lungmedicin bedöms bilderna på nyupptäckta noduli. Lämpligt uppföljningsschema anvisas i svar/remiss till närsjukvården. Lungläkare finns tillgänglig för frågor från närsjukvården vid behov.</w:t>
      </w:r>
      <w:r w:rsidRPr="0057356D" w:rsidR="0057356D">
        <w:rPr>
          <w:color w:val="000000" w:themeColor="text1"/>
          <w:szCs w:val="22"/>
        </w:rPr>
        <w:br/>
      </w:r>
    </w:p>
    <w:p w:rsidRPr="0057356D" w:rsidR="00652CEE" w:rsidP="00652CEE" w:rsidRDefault="00652CEE" w14:paraId="2709F311" w14:textId="77777777">
      <w:pPr>
        <w:rPr>
          <w:color w:val="000000" w:themeColor="text1"/>
        </w:rPr>
      </w:pPr>
    </w:p>
    <w:p w:rsidRPr="0057356D" w:rsidR="00652CEE" w:rsidP="00652CEE" w:rsidRDefault="00652CEE" w14:paraId="43BE8CB9" w14:textId="77777777">
      <w:pPr>
        <w:pStyle w:val="Heading1"/>
        <w:rPr>
          <w:color w:val="000000" w:themeColor="text1"/>
        </w:rPr>
      </w:pPr>
      <w:bookmarkStart w:name="_Toc112067184" w:id="18"/>
      <w:bookmarkStart w:name="_Toc114733058" w:id="19"/>
      <w:r w:rsidRPr="0057356D">
        <w:rPr>
          <w:color w:val="000000" w:themeColor="text1"/>
        </w:rPr>
        <w:t>Uppföljning</w:t>
      </w:r>
      <w:bookmarkEnd w:id="18"/>
      <w:bookmarkEnd w:id="19"/>
      <w:r w:rsidRPr="0057356D">
        <w:rPr>
          <w:color w:val="000000" w:themeColor="text1"/>
        </w:rPr>
        <w:t xml:space="preserve"> </w:t>
      </w:r>
    </w:p>
    <w:p w:rsidRPr="0057356D" w:rsidR="00652CEE" w:rsidP="0057356D" w:rsidRDefault="00652CEE" w14:paraId="5CE2B549" w14:textId="61938D0D">
      <w:pPr>
        <w:rPr>
          <w:szCs w:val="22"/>
        </w:rPr>
      </w:pPr>
      <w:r w:rsidRPr="0057356D">
        <w:rPr>
          <w:szCs w:val="22"/>
        </w:rPr>
        <w:t xml:space="preserve">Se </w:t>
      </w:r>
      <w:hyperlink w:history="1" w:anchor="_Förenklat_prickschema_Region">
        <w:r w:rsidRPr="0057356D">
          <w:rPr>
            <w:rStyle w:val="Hyperlink"/>
            <w:color w:val="auto"/>
            <w:szCs w:val="22"/>
          </w:rPr>
          <w:t>bilaga 1</w:t>
        </w:r>
      </w:hyperlink>
      <w:r w:rsidRPr="0057356D">
        <w:rPr>
          <w:szCs w:val="22"/>
        </w:rPr>
        <w:t xml:space="preserve"> över förenklat prickschema Region Halland.</w:t>
      </w:r>
      <w:bookmarkStart w:name="_Toc358181229" w:id="20"/>
      <w:bookmarkStart w:name="_Toc112067185" w:id="21"/>
    </w:p>
    <w:bookmarkEnd w:id="20"/>
    <w:bookmarkEnd w:id="21"/>
    <w:p w:rsidRPr="0057356D" w:rsidR="00652CEE" w:rsidP="00652CEE" w:rsidRDefault="00652CEE" w14:paraId="0051A151" w14:textId="77777777"/>
    <w:p w:rsidRPr="0057356D" w:rsidR="00652CEE" w:rsidP="00652CEE" w:rsidRDefault="00652CEE" w14:paraId="56A6543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57356D" w:rsidR="00652CEE" w:rsidTr="00761FF4" w14:paraId="319387C6"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57356D" w:rsidR="00652CEE" w:rsidP="00761FF4" w:rsidRDefault="00652CEE" w14:paraId="45F91613" w14:textId="77777777">
            <w:pPr>
              <w:pStyle w:val="Heading1"/>
            </w:pPr>
            <w:bookmarkStart w:name="_Toc112067186" w:id="22"/>
            <w:bookmarkStart w:name="_Toc114733059" w:id="23"/>
            <w:r w:rsidRPr="0057356D">
              <w:t>Uppdaterat från föregående version</w:t>
            </w:r>
            <w:bookmarkEnd w:id="22"/>
            <w:bookmarkEnd w:id="23"/>
          </w:p>
          <w:p w:rsidRPr="0057356D" w:rsidR="00652CEE" w:rsidP="00761FF4" w:rsidRDefault="00652CEE" w14:paraId="7FD0AE31" w14:textId="77777777"/>
          <w:p w:rsidRPr="0057356D" w:rsidR="00E16D46" w:rsidP="00761FF4" w:rsidRDefault="00E16D46" w14:paraId="615422E3" w14:textId="4167936B">
            <w:pPr>
              <w:rPr>
                <w:szCs w:val="22"/>
              </w:rPr>
            </w:pPr>
            <w:r w:rsidRPr="0057356D">
              <w:rPr>
                <w:szCs w:val="22"/>
              </w:rPr>
              <w:t>2022-09-22 Redaktionella ändringar &amp; formatering.</w:t>
            </w:r>
          </w:p>
          <w:p w:rsidRPr="0057356D" w:rsidR="00652CEE" w:rsidP="00761FF4" w:rsidRDefault="00652CEE" w14:paraId="03B77F19" w14:textId="528F5F9E">
            <w:pPr>
              <w:rPr>
                <w:szCs w:val="22"/>
              </w:rPr>
            </w:pPr>
            <w:r w:rsidRPr="0057356D">
              <w:rPr>
                <w:color w:val="808080" w:themeColor="background1" w:themeShade="80"/>
                <w:szCs w:val="22"/>
              </w:rPr>
              <w:t>2022-08-15 Ny rutin</w:t>
            </w:r>
          </w:p>
        </w:tc>
      </w:tr>
    </w:tbl>
    <w:p w:rsidRPr="0057356D" w:rsidR="00A0430F" w:rsidP="00652CEE" w:rsidRDefault="00A0430F" w14:paraId="1221560C" w14:textId="77777777">
      <w:pPr>
        <w:pStyle w:val="Heading1"/>
      </w:pPr>
      <w:bookmarkStart w:name="_Toc112067187" w:id="24"/>
      <w:bookmarkStart w:name="_Toc114733060" w:id="25"/>
    </w:p>
    <w:p w:rsidRPr="0057356D" w:rsidR="00A0430F" w:rsidRDefault="00A0430F" w14:paraId="1C6AE496" w14:textId="77777777">
      <w:pPr>
        <w:rPr>
          <w:rFonts w:eastAsia="Calibri"/>
          <w:b/>
          <w:sz w:val="32"/>
          <w:szCs w:val="28"/>
          <w:lang w:eastAsia="en-US"/>
        </w:rPr>
      </w:pPr>
      <w:r w:rsidRPr="0057356D">
        <w:br w:type="page"/>
      </w:r>
    </w:p>
    <w:p w:rsidRPr="0057356D" w:rsidR="00652CEE" w:rsidP="00652CEE" w:rsidRDefault="00652CEE" w14:paraId="34EA3A16" w14:textId="23EED4EA">
      <w:pPr>
        <w:pStyle w:val="Heading1"/>
      </w:pPr>
      <w:r w:rsidRPr="0057356D">
        <w:t>Bilaga 1</w:t>
      </w:r>
      <w:bookmarkEnd w:id="24"/>
      <w:bookmarkEnd w:id="25"/>
    </w:p>
    <w:p w:rsidRPr="0057356D" w:rsidR="00652CEE" w:rsidP="00652CEE" w:rsidRDefault="00652CEE" w14:paraId="18C3258D" w14:textId="77777777">
      <w:pPr>
        <w:pStyle w:val="Heading1"/>
      </w:pPr>
      <w:bookmarkStart w:name="_Förenklat_prickschema_Region" w:id="26"/>
      <w:bookmarkStart w:name="_Toc112067188" w:id="27"/>
      <w:bookmarkStart w:name="_Toc114733061" w:id="28"/>
      <w:bookmarkEnd w:id="26"/>
      <w:r w:rsidRPr="0057356D">
        <w:t>Förenklat prickschema Region Halland</w:t>
      </w:r>
      <w:bookmarkEnd w:id="27"/>
      <w:bookmarkEnd w:id="28"/>
    </w:p>
    <w:p w:rsidRPr="0057356D" w:rsidR="00652CEE" w:rsidP="00652CEE" w:rsidRDefault="00652CEE" w14:paraId="1184579C" w14:textId="77777777">
      <w:pPr>
        <w:rPr>
          <w:color w:val="FF0000"/>
        </w:rPr>
      </w:pPr>
    </w:p>
    <w:p w:rsidRPr="0057356D" w:rsidR="00652CEE" w:rsidP="00652CEE" w:rsidRDefault="00652CEE" w14:paraId="1D21B6CB" w14:textId="4129922A">
      <w:pPr>
        <w:rPr>
          <w:b/>
        </w:rPr>
      </w:pPr>
      <w:r w:rsidRPr="0057356D">
        <w:rPr>
          <w:b/>
        </w:rPr>
        <w:t xml:space="preserve">Solida nodulära förändringar </w:t>
      </w:r>
      <w:r w:rsidRPr="0057356D" w:rsidR="00A0430F">
        <w:rPr>
          <w:b/>
        </w:rPr>
        <w:b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344"/>
        <w:gridCol w:w="1310"/>
        <w:gridCol w:w="1177"/>
        <w:gridCol w:w="2694"/>
      </w:tblGrid>
      <w:tr w:rsidRPr="0057356D" w:rsidR="00652CEE" w:rsidTr="00761FF4" w14:paraId="1CC36B63" w14:textId="77777777">
        <w:tc>
          <w:tcPr>
            <w:tcW w:w="1344" w:type="dxa"/>
            <w:vAlign w:val="center"/>
            <w:hideMark/>
          </w:tcPr>
          <w:p w:rsidRPr="0057356D" w:rsidR="00652CEE" w:rsidP="00761FF4" w:rsidRDefault="00652CEE" w14:paraId="316E4949" w14:textId="77777777">
            <w:pPr>
              <w:spacing w:after="200"/>
              <w:rPr>
                <w:rFonts w:eastAsiaTheme="minorHAnsi"/>
                <w:sz w:val="20"/>
                <w:szCs w:val="20"/>
                <w:lang w:eastAsia="en-US"/>
              </w:rPr>
            </w:pPr>
            <w:r w:rsidRPr="0057356D">
              <w:rPr>
                <w:rFonts w:eastAsiaTheme="minorHAnsi"/>
                <w:b/>
                <w:bCs/>
                <w:sz w:val="20"/>
                <w:szCs w:val="20"/>
                <w:lang w:eastAsia="en-US"/>
              </w:rPr>
              <w:t>Storlek</w:t>
            </w:r>
          </w:p>
        </w:tc>
        <w:tc>
          <w:tcPr>
            <w:tcW w:w="1310" w:type="dxa"/>
            <w:vAlign w:val="center"/>
            <w:hideMark/>
          </w:tcPr>
          <w:p w:rsidRPr="0057356D" w:rsidR="00652CEE" w:rsidP="00761FF4" w:rsidRDefault="00652CEE" w14:paraId="6EFE508E" w14:textId="77777777">
            <w:pPr>
              <w:spacing w:after="200"/>
              <w:rPr>
                <w:rFonts w:eastAsiaTheme="minorHAnsi"/>
                <w:sz w:val="20"/>
                <w:szCs w:val="20"/>
                <w:lang w:eastAsia="en-US"/>
              </w:rPr>
            </w:pPr>
            <w:r w:rsidRPr="0057356D">
              <w:rPr>
                <w:rFonts w:eastAsiaTheme="minorHAnsi"/>
                <w:b/>
                <w:bCs/>
                <w:sz w:val="20"/>
                <w:szCs w:val="20"/>
                <w:lang w:eastAsia="en-US"/>
              </w:rPr>
              <w:t>Antal</w:t>
            </w:r>
          </w:p>
        </w:tc>
        <w:tc>
          <w:tcPr>
            <w:tcW w:w="1177" w:type="dxa"/>
            <w:vAlign w:val="center"/>
            <w:hideMark/>
          </w:tcPr>
          <w:p w:rsidRPr="0057356D" w:rsidR="00652CEE" w:rsidP="00761FF4" w:rsidRDefault="00652CEE" w14:paraId="2D654C07" w14:textId="77777777">
            <w:pPr>
              <w:spacing w:after="200"/>
              <w:rPr>
                <w:rFonts w:eastAsiaTheme="minorHAnsi"/>
                <w:sz w:val="20"/>
                <w:szCs w:val="20"/>
                <w:lang w:eastAsia="en-US"/>
              </w:rPr>
            </w:pPr>
            <w:r w:rsidRPr="0057356D">
              <w:rPr>
                <w:rFonts w:eastAsiaTheme="minorHAnsi"/>
                <w:b/>
                <w:bCs/>
                <w:sz w:val="20"/>
                <w:szCs w:val="20"/>
                <w:lang w:eastAsia="en-US"/>
              </w:rPr>
              <w:t>Risk</w:t>
            </w:r>
          </w:p>
        </w:tc>
        <w:tc>
          <w:tcPr>
            <w:tcW w:w="2694" w:type="dxa"/>
            <w:vAlign w:val="center"/>
            <w:hideMark/>
          </w:tcPr>
          <w:p w:rsidRPr="0057356D" w:rsidR="00652CEE" w:rsidP="00761FF4" w:rsidRDefault="00652CEE" w14:paraId="22226683" w14:textId="77777777">
            <w:pPr>
              <w:spacing w:after="200"/>
              <w:rPr>
                <w:rFonts w:eastAsiaTheme="minorHAnsi"/>
                <w:sz w:val="20"/>
                <w:szCs w:val="20"/>
                <w:lang w:eastAsia="en-US"/>
              </w:rPr>
            </w:pPr>
            <w:r w:rsidRPr="0057356D">
              <w:rPr>
                <w:rFonts w:eastAsiaTheme="minorHAnsi"/>
                <w:b/>
                <w:bCs/>
                <w:sz w:val="20"/>
                <w:szCs w:val="20"/>
                <w:lang w:eastAsia="en-US"/>
              </w:rPr>
              <w:t>Uppföljning</w:t>
            </w:r>
          </w:p>
        </w:tc>
      </w:tr>
      <w:tr w:rsidRPr="0057356D" w:rsidR="00652CEE" w:rsidTr="00761FF4" w14:paraId="05E42A83" w14:textId="77777777">
        <w:tc>
          <w:tcPr>
            <w:tcW w:w="1344" w:type="dxa"/>
            <w:vMerge w:val="restart"/>
            <w:vAlign w:val="center"/>
            <w:hideMark/>
          </w:tcPr>
          <w:p w:rsidRPr="0057356D" w:rsidR="00652CEE" w:rsidP="00761FF4" w:rsidRDefault="00652CEE" w14:paraId="0FFB667F" w14:textId="77777777">
            <w:pPr>
              <w:spacing w:after="200"/>
              <w:rPr>
                <w:rFonts w:eastAsiaTheme="minorHAnsi"/>
                <w:sz w:val="20"/>
                <w:szCs w:val="20"/>
                <w:lang w:eastAsia="en-US"/>
              </w:rPr>
            </w:pPr>
            <w:r w:rsidRPr="0057356D">
              <w:rPr>
                <w:rFonts w:eastAsiaTheme="minorHAnsi"/>
                <w:sz w:val="20"/>
                <w:szCs w:val="20"/>
                <w:lang w:eastAsia="en-US"/>
              </w:rPr>
              <w:t xml:space="preserve">&lt;6 mm                        </w:t>
            </w:r>
          </w:p>
        </w:tc>
        <w:tc>
          <w:tcPr>
            <w:tcW w:w="1310" w:type="dxa"/>
            <w:vMerge w:val="restart"/>
            <w:vAlign w:val="center"/>
            <w:hideMark/>
          </w:tcPr>
          <w:p w:rsidRPr="0057356D" w:rsidR="00652CEE" w:rsidP="00761FF4" w:rsidRDefault="00652CEE" w14:paraId="3A97CC16" w14:textId="77777777">
            <w:pPr>
              <w:spacing w:after="200"/>
              <w:rPr>
                <w:rFonts w:eastAsiaTheme="minorHAnsi"/>
                <w:sz w:val="20"/>
                <w:szCs w:val="20"/>
                <w:lang w:eastAsia="en-US"/>
              </w:rPr>
            </w:pPr>
            <w:r w:rsidRPr="0057356D">
              <w:rPr>
                <w:rFonts w:eastAsiaTheme="minorHAnsi"/>
                <w:sz w:val="20"/>
                <w:szCs w:val="20"/>
                <w:lang w:eastAsia="en-US"/>
              </w:rPr>
              <w:t>Solitär eller multipla</w:t>
            </w:r>
          </w:p>
        </w:tc>
        <w:tc>
          <w:tcPr>
            <w:tcW w:w="1177" w:type="dxa"/>
            <w:vAlign w:val="center"/>
            <w:hideMark/>
          </w:tcPr>
          <w:p w:rsidRPr="0057356D" w:rsidR="00652CEE" w:rsidP="00761FF4" w:rsidRDefault="00652CEE" w14:paraId="6C7D3970" w14:textId="77777777">
            <w:pPr>
              <w:spacing w:after="200"/>
              <w:rPr>
                <w:rFonts w:eastAsiaTheme="minorHAnsi"/>
                <w:sz w:val="20"/>
                <w:szCs w:val="20"/>
                <w:lang w:eastAsia="en-US"/>
              </w:rPr>
            </w:pPr>
            <w:r w:rsidRPr="0057356D">
              <w:rPr>
                <w:rFonts w:eastAsiaTheme="minorHAnsi"/>
                <w:sz w:val="20"/>
                <w:szCs w:val="20"/>
                <w:lang w:eastAsia="en-US"/>
              </w:rPr>
              <w:t>Låg risk</w:t>
            </w:r>
          </w:p>
        </w:tc>
        <w:tc>
          <w:tcPr>
            <w:tcW w:w="2694" w:type="dxa"/>
            <w:vAlign w:val="center"/>
            <w:hideMark/>
          </w:tcPr>
          <w:p w:rsidRPr="0057356D" w:rsidR="00652CEE" w:rsidP="00761FF4" w:rsidRDefault="00652CEE" w14:paraId="1B11688A" w14:textId="77777777">
            <w:pPr>
              <w:spacing w:after="200"/>
              <w:rPr>
                <w:rFonts w:eastAsiaTheme="minorHAnsi"/>
                <w:sz w:val="20"/>
                <w:szCs w:val="20"/>
                <w:lang w:eastAsia="en-US"/>
              </w:rPr>
            </w:pPr>
            <w:r w:rsidRPr="0057356D">
              <w:rPr>
                <w:rFonts w:eastAsiaTheme="minorHAnsi"/>
                <w:sz w:val="20"/>
                <w:szCs w:val="20"/>
                <w:lang w:eastAsia="en-US"/>
              </w:rPr>
              <w:t>Ingen rutinmässig uppföljning</w:t>
            </w:r>
          </w:p>
        </w:tc>
      </w:tr>
      <w:tr w:rsidRPr="0057356D" w:rsidR="00652CEE" w:rsidTr="00761FF4" w14:paraId="28F82D61" w14:textId="77777777">
        <w:trPr>
          <w:trHeight w:val="424"/>
        </w:trPr>
        <w:tc>
          <w:tcPr>
            <w:tcW w:w="0" w:type="auto"/>
            <w:vMerge/>
            <w:vAlign w:val="center"/>
            <w:hideMark/>
          </w:tcPr>
          <w:p w:rsidRPr="0057356D" w:rsidR="00652CEE" w:rsidP="00761FF4" w:rsidRDefault="00652CEE" w14:paraId="1D3F95CB" w14:textId="77777777">
            <w:pPr>
              <w:spacing w:after="200"/>
              <w:rPr>
                <w:rFonts w:eastAsiaTheme="minorHAnsi"/>
                <w:sz w:val="20"/>
                <w:szCs w:val="20"/>
                <w:lang w:eastAsia="en-US"/>
              </w:rPr>
            </w:pPr>
          </w:p>
        </w:tc>
        <w:tc>
          <w:tcPr>
            <w:tcW w:w="1310" w:type="dxa"/>
            <w:vMerge/>
            <w:vAlign w:val="center"/>
            <w:hideMark/>
          </w:tcPr>
          <w:p w:rsidRPr="0057356D" w:rsidR="00652CEE" w:rsidP="00761FF4" w:rsidRDefault="00652CEE" w14:paraId="2B625B0C" w14:textId="77777777">
            <w:pPr>
              <w:spacing w:after="200"/>
              <w:rPr>
                <w:rFonts w:eastAsiaTheme="minorHAnsi"/>
                <w:sz w:val="20"/>
                <w:szCs w:val="20"/>
                <w:lang w:eastAsia="en-US"/>
              </w:rPr>
            </w:pPr>
          </w:p>
        </w:tc>
        <w:tc>
          <w:tcPr>
            <w:tcW w:w="1177" w:type="dxa"/>
            <w:vAlign w:val="center"/>
            <w:hideMark/>
          </w:tcPr>
          <w:p w:rsidRPr="0057356D" w:rsidR="00652CEE" w:rsidP="00761FF4" w:rsidRDefault="00652CEE" w14:paraId="774BAE14" w14:textId="77777777">
            <w:pPr>
              <w:spacing w:after="200"/>
              <w:rPr>
                <w:rFonts w:eastAsiaTheme="minorHAnsi"/>
                <w:sz w:val="20"/>
                <w:szCs w:val="20"/>
                <w:lang w:eastAsia="en-US"/>
              </w:rPr>
            </w:pPr>
            <w:r w:rsidRPr="0057356D">
              <w:rPr>
                <w:rFonts w:eastAsiaTheme="minorHAnsi"/>
                <w:sz w:val="20"/>
                <w:szCs w:val="20"/>
                <w:lang w:eastAsia="en-US"/>
              </w:rPr>
              <w:t>Intermed och hög risk</w:t>
            </w:r>
          </w:p>
        </w:tc>
        <w:tc>
          <w:tcPr>
            <w:tcW w:w="2694" w:type="dxa"/>
            <w:vAlign w:val="center"/>
            <w:hideMark/>
          </w:tcPr>
          <w:p w:rsidRPr="0057356D" w:rsidR="00652CEE" w:rsidP="00761FF4" w:rsidRDefault="00652CEE" w14:paraId="2D62237D" w14:textId="77777777">
            <w:pPr>
              <w:spacing w:after="200"/>
              <w:rPr>
                <w:rFonts w:eastAsiaTheme="minorHAnsi"/>
                <w:sz w:val="20"/>
                <w:szCs w:val="20"/>
                <w:lang w:eastAsia="en-US"/>
              </w:rPr>
            </w:pPr>
            <w:r w:rsidRPr="0057356D">
              <w:rPr>
                <w:rFonts w:eastAsiaTheme="minorHAnsi"/>
                <w:sz w:val="20"/>
                <w:szCs w:val="20"/>
                <w:lang w:eastAsia="en-US"/>
              </w:rPr>
              <w:t>ny DT efter 12 mån</w:t>
            </w:r>
          </w:p>
        </w:tc>
      </w:tr>
      <w:tr w:rsidRPr="0057356D" w:rsidR="00652CEE" w:rsidTr="00761FF4" w14:paraId="3225DECD" w14:textId="77777777">
        <w:trPr>
          <w:trHeight w:val="422"/>
        </w:trPr>
        <w:tc>
          <w:tcPr>
            <w:tcW w:w="1344" w:type="dxa"/>
            <w:vMerge w:val="restart"/>
            <w:vAlign w:val="center"/>
            <w:hideMark/>
          </w:tcPr>
          <w:p w:rsidRPr="0057356D" w:rsidR="00652CEE" w:rsidP="00761FF4" w:rsidRDefault="00652CEE" w14:paraId="53F1BA34" w14:textId="77777777">
            <w:pPr>
              <w:spacing w:after="200"/>
              <w:rPr>
                <w:rFonts w:eastAsiaTheme="minorHAnsi"/>
                <w:sz w:val="20"/>
                <w:szCs w:val="20"/>
                <w:lang w:eastAsia="en-US"/>
              </w:rPr>
            </w:pPr>
            <w:r w:rsidRPr="0057356D">
              <w:rPr>
                <w:rFonts w:eastAsiaTheme="minorHAnsi"/>
                <w:sz w:val="20"/>
                <w:szCs w:val="20"/>
                <w:lang w:eastAsia="en-US"/>
              </w:rPr>
              <w:t>6–8 mm</w:t>
            </w:r>
          </w:p>
        </w:tc>
        <w:tc>
          <w:tcPr>
            <w:tcW w:w="1310" w:type="dxa"/>
            <w:vAlign w:val="center"/>
            <w:hideMark/>
          </w:tcPr>
          <w:p w:rsidRPr="0057356D" w:rsidR="00652CEE" w:rsidP="00761FF4" w:rsidRDefault="00652CEE" w14:paraId="7B81402B" w14:textId="77777777">
            <w:pPr>
              <w:spacing w:after="200"/>
              <w:rPr>
                <w:rFonts w:eastAsiaTheme="minorHAnsi"/>
                <w:sz w:val="20"/>
                <w:szCs w:val="20"/>
                <w:lang w:eastAsia="en-US"/>
              </w:rPr>
            </w:pPr>
            <w:r w:rsidRPr="0057356D">
              <w:rPr>
                <w:rFonts w:eastAsiaTheme="minorHAnsi"/>
                <w:sz w:val="20"/>
                <w:szCs w:val="20"/>
                <w:lang w:eastAsia="en-US"/>
              </w:rPr>
              <w:t>Solitär</w:t>
            </w:r>
          </w:p>
        </w:tc>
        <w:tc>
          <w:tcPr>
            <w:tcW w:w="1177" w:type="dxa"/>
            <w:vAlign w:val="center"/>
            <w:hideMark/>
          </w:tcPr>
          <w:p w:rsidRPr="0057356D" w:rsidR="00652CEE" w:rsidP="00761FF4" w:rsidRDefault="00652CEE" w14:paraId="2887A550" w14:textId="77777777">
            <w:pPr>
              <w:spacing w:after="200"/>
              <w:rPr>
                <w:rFonts w:eastAsiaTheme="minorHAnsi"/>
                <w:sz w:val="20"/>
                <w:szCs w:val="20"/>
                <w:lang w:eastAsia="en-US"/>
              </w:rPr>
            </w:pPr>
            <w:r w:rsidRPr="0057356D">
              <w:rPr>
                <w:rFonts w:eastAsiaTheme="minorHAnsi"/>
                <w:sz w:val="20"/>
                <w:szCs w:val="20"/>
                <w:lang w:eastAsia="en-US"/>
              </w:rPr>
              <w:t>Alla</w:t>
            </w:r>
          </w:p>
        </w:tc>
        <w:tc>
          <w:tcPr>
            <w:tcW w:w="2694" w:type="dxa"/>
            <w:vAlign w:val="center"/>
            <w:hideMark/>
          </w:tcPr>
          <w:p w:rsidRPr="0057356D" w:rsidR="00652CEE" w:rsidP="00761FF4" w:rsidRDefault="00652CEE" w14:paraId="76DDB2EB" w14:textId="77777777">
            <w:pPr>
              <w:spacing w:after="200"/>
              <w:rPr>
                <w:rFonts w:eastAsiaTheme="minorHAnsi"/>
                <w:sz w:val="20"/>
                <w:szCs w:val="20"/>
                <w:lang w:eastAsia="en-US"/>
              </w:rPr>
            </w:pPr>
            <w:r w:rsidRPr="0057356D">
              <w:rPr>
                <w:rFonts w:eastAsiaTheme="minorHAnsi"/>
                <w:sz w:val="20"/>
                <w:szCs w:val="20"/>
                <w:lang w:eastAsia="en-US"/>
              </w:rPr>
              <w:t>Ny DT efter 8 och 24 mån</w:t>
            </w:r>
          </w:p>
        </w:tc>
      </w:tr>
      <w:tr w:rsidRPr="0057356D" w:rsidR="00652CEE" w:rsidTr="00761FF4" w14:paraId="34069514" w14:textId="77777777">
        <w:trPr>
          <w:trHeight w:val="644"/>
        </w:trPr>
        <w:tc>
          <w:tcPr>
            <w:tcW w:w="0" w:type="auto"/>
            <w:vMerge/>
            <w:vAlign w:val="center"/>
            <w:hideMark/>
          </w:tcPr>
          <w:p w:rsidRPr="0057356D" w:rsidR="00652CEE" w:rsidP="00761FF4" w:rsidRDefault="00652CEE" w14:paraId="71E13B02" w14:textId="77777777">
            <w:pPr>
              <w:spacing w:after="200"/>
              <w:rPr>
                <w:rFonts w:eastAsiaTheme="minorHAnsi"/>
                <w:sz w:val="20"/>
                <w:szCs w:val="20"/>
                <w:lang w:eastAsia="en-US"/>
              </w:rPr>
            </w:pPr>
          </w:p>
        </w:tc>
        <w:tc>
          <w:tcPr>
            <w:tcW w:w="1310" w:type="dxa"/>
            <w:vAlign w:val="center"/>
            <w:hideMark/>
          </w:tcPr>
          <w:p w:rsidRPr="0057356D" w:rsidR="00652CEE" w:rsidP="00761FF4" w:rsidRDefault="00652CEE" w14:paraId="68A1A214" w14:textId="77777777">
            <w:pPr>
              <w:spacing w:after="200"/>
              <w:rPr>
                <w:rFonts w:eastAsiaTheme="minorHAnsi"/>
                <w:sz w:val="20"/>
                <w:szCs w:val="20"/>
                <w:lang w:eastAsia="en-US"/>
              </w:rPr>
            </w:pPr>
            <w:r w:rsidRPr="0057356D">
              <w:rPr>
                <w:rFonts w:eastAsiaTheme="minorHAnsi"/>
                <w:sz w:val="20"/>
                <w:szCs w:val="20"/>
                <w:lang w:eastAsia="en-US"/>
              </w:rPr>
              <w:t>Multipla</w:t>
            </w:r>
          </w:p>
        </w:tc>
        <w:tc>
          <w:tcPr>
            <w:tcW w:w="1177" w:type="dxa"/>
            <w:vAlign w:val="center"/>
            <w:hideMark/>
          </w:tcPr>
          <w:p w:rsidRPr="0057356D" w:rsidR="00652CEE" w:rsidP="00761FF4" w:rsidRDefault="00652CEE" w14:paraId="1BD3B7E7" w14:textId="77777777">
            <w:pPr>
              <w:spacing w:after="200"/>
              <w:rPr>
                <w:rFonts w:eastAsiaTheme="minorHAnsi"/>
                <w:sz w:val="20"/>
                <w:szCs w:val="20"/>
                <w:lang w:eastAsia="en-US"/>
              </w:rPr>
            </w:pPr>
            <w:r w:rsidRPr="0057356D">
              <w:rPr>
                <w:rFonts w:eastAsiaTheme="minorHAnsi"/>
                <w:sz w:val="20"/>
                <w:szCs w:val="20"/>
                <w:lang w:eastAsia="en-US"/>
              </w:rPr>
              <w:t>Alla</w:t>
            </w:r>
          </w:p>
        </w:tc>
        <w:tc>
          <w:tcPr>
            <w:tcW w:w="2694" w:type="dxa"/>
            <w:vAlign w:val="center"/>
            <w:hideMark/>
          </w:tcPr>
          <w:p w:rsidRPr="0057356D" w:rsidR="00652CEE" w:rsidP="00761FF4" w:rsidRDefault="00652CEE" w14:paraId="2442DC35" w14:textId="77777777">
            <w:pPr>
              <w:spacing w:after="200"/>
              <w:rPr>
                <w:rFonts w:eastAsiaTheme="minorHAnsi"/>
                <w:sz w:val="20"/>
                <w:szCs w:val="20"/>
                <w:lang w:eastAsia="en-US"/>
              </w:rPr>
            </w:pPr>
            <w:r w:rsidRPr="0057356D">
              <w:rPr>
                <w:rFonts w:eastAsiaTheme="minorHAnsi"/>
                <w:sz w:val="20"/>
                <w:szCs w:val="20"/>
                <w:lang w:eastAsia="en-US"/>
              </w:rPr>
              <w:t>Ny DT efter 3–6 mån och efter 24 mån</w:t>
            </w:r>
          </w:p>
        </w:tc>
      </w:tr>
      <w:tr w:rsidRPr="0057356D" w:rsidR="00652CEE" w:rsidTr="00761FF4" w14:paraId="0944D898" w14:textId="77777777">
        <w:trPr>
          <w:trHeight w:val="642"/>
        </w:trPr>
        <w:tc>
          <w:tcPr>
            <w:tcW w:w="1344" w:type="dxa"/>
            <w:vMerge w:val="restart"/>
            <w:vAlign w:val="center"/>
            <w:hideMark/>
          </w:tcPr>
          <w:p w:rsidRPr="0057356D" w:rsidR="00652CEE" w:rsidP="00761FF4" w:rsidRDefault="00652CEE" w14:paraId="7B91E01A" w14:textId="77777777">
            <w:pPr>
              <w:spacing w:after="200"/>
              <w:rPr>
                <w:rFonts w:eastAsiaTheme="minorHAnsi"/>
                <w:sz w:val="20"/>
                <w:szCs w:val="20"/>
                <w:lang w:eastAsia="en-US"/>
              </w:rPr>
            </w:pPr>
            <w:r w:rsidRPr="0057356D">
              <w:rPr>
                <w:rFonts w:eastAsiaTheme="minorHAnsi"/>
                <w:sz w:val="20"/>
                <w:szCs w:val="20"/>
                <w:lang w:eastAsia="en-US"/>
              </w:rPr>
              <w:t>&gt;8 mm</w:t>
            </w:r>
          </w:p>
        </w:tc>
        <w:tc>
          <w:tcPr>
            <w:tcW w:w="1310" w:type="dxa"/>
            <w:vAlign w:val="center"/>
            <w:hideMark/>
          </w:tcPr>
          <w:p w:rsidRPr="0057356D" w:rsidR="00652CEE" w:rsidP="00761FF4" w:rsidRDefault="00652CEE" w14:paraId="264F3C5C" w14:textId="77777777">
            <w:pPr>
              <w:spacing w:after="200"/>
              <w:rPr>
                <w:rFonts w:eastAsiaTheme="minorHAnsi"/>
                <w:sz w:val="20"/>
                <w:szCs w:val="20"/>
                <w:lang w:eastAsia="en-US"/>
              </w:rPr>
            </w:pPr>
            <w:r w:rsidRPr="0057356D">
              <w:rPr>
                <w:rFonts w:eastAsiaTheme="minorHAnsi"/>
                <w:sz w:val="20"/>
                <w:szCs w:val="20"/>
                <w:lang w:eastAsia="en-US"/>
              </w:rPr>
              <w:t>Solitär</w:t>
            </w:r>
          </w:p>
        </w:tc>
        <w:tc>
          <w:tcPr>
            <w:tcW w:w="1177" w:type="dxa"/>
            <w:vAlign w:val="center"/>
            <w:hideMark/>
          </w:tcPr>
          <w:p w:rsidRPr="0057356D" w:rsidR="00652CEE" w:rsidP="00761FF4" w:rsidRDefault="00652CEE" w14:paraId="48CB5316" w14:textId="77777777">
            <w:pPr>
              <w:spacing w:after="200"/>
              <w:rPr>
                <w:rFonts w:eastAsiaTheme="minorHAnsi"/>
                <w:sz w:val="20"/>
                <w:szCs w:val="20"/>
                <w:lang w:eastAsia="en-US"/>
              </w:rPr>
            </w:pPr>
            <w:r w:rsidRPr="0057356D">
              <w:rPr>
                <w:rFonts w:eastAsiaTheme="minorHAnsi"/>
                <w:sz w:val="20"/>
                <w:szCs w:val="20"/>
                <w:lang w:eastAsia="en-US"/>
              </w:rPr>
              <w:t>Alla</w:t>
            </w:r>
          </w:p>
        </w:tc>
        <w:tc>
          <w:tcPr>
            <w:tcW w:w="2694" w:type="dxa"/>
            <w:vAlign w:val="center"/>
            <w:hideMark/>
          </w:tcPr>
          <w:p w:rsidRPr="0057356D" w:rsidR="00652CEE" w:rsidP="00761FF4" w:rsidRDefault="00652CEE" w14:paraId="3B3F5FA4" w14:textId="77777777">
            <w:pPr>
              <w:spacing w:after="200"/>
              <w:rPr>
                <w:rFonts w:eastAsiaTheme="minorHAnsi"/>
                <w:sz w:val="20"/>
                <w:szCs w:val="20"/>
                <w:lang w:eastAsia="en-US"/>
              </w:rPr>
            </w:pPr>
            <w:r w:rsidRPr="0057356D">
              <w:rPr>
                <w:rFonts w:eastAsiaTheme="minorHAnsi"/>
                <w:sz w:val="20"/>
                <w:szCs w:val="20"/>
                <w:lang w:eastAsia="en-US"/>
              </w:rPr>
              <w:t>utredning (PET-DT, biopsi) alt ny DT efter 3 mån</w:t>
            </w:r>
          </w:p>
        </w:tc>
      </w:tr>
      <w:tr w:rsidRPr="0057356D" w:rsidR="00652CEE" w:rsidTr="00761FF4" w14:paraId="3775BFA2" w14:textId="77777777">
        <w:trPr>
          <w:trHeight w:val="342"/>
        </w:trPr>
        <w:tc>
          <w:tcPr>
            <w:tcW w:w="0" w:type="auto"/>
            <w:vMerge/>
            <w:vAlign w:val="center"/>
            <w:hideMark/>
          </w:tcPr>
          <w:p w:rsidRPr="0057356D" w:rsidR="00652CEE" w:rsidP="00761FF4" w:rsidRDefault="00652CEE" w14:paraId="3135F3AB" w14:textId="77777777">
            <w:pPr>
              <w:spacing w:after="200"/>
              <w:rPr>
                <w:rFonts w:eastAsiaTheme="minorHAnsi"/>
                <w:sz w:val="20"/>
                <w:szCs w:val="20"/>
                <w:lang w:eastAsia="en-US"/>
              </w:rPr>
            </w:pPr>
          </w:p>
        </w:tc>
        <w:tc>
          <w:tcPr>
            <w:tcW w:w="1310" w:type="dxa"/>
            <w:vAlign w:val="center"/>
            <w:hideMark/>
          </w:tcPr>
          <w:p w:rsidRPr="0057356D" w:rsidR="00652CEE" w:rsidP="00761FF4" w:rsidRDefault="00652CEE" w14:paraId="7DD1C6A7" w14:textId="77777777">
            <w:pPr>
              <w:spacing w:after="200"/>
              <w:rPr>
                <w:rFonts w:eastAsiaTheme="minorHAnsi"/>
                <w:sz w:val="20"/>
                <w:szCs w:val="20"/>
                <w:lang w:eastAsia="en-US"/>
              </w:rPr>
            </w:pPr>
            <w:r w:rsidRPr="0057356D">
              <w:rPr>
                <w:rFonts w:eastAsiaTheme="minorHAnsi"/>
                <w:sz w:val="20"/>
                <w:szCs w:val="20"/>
                <w:lang w:eastAsia="en-US"/>
              </w:rPr>
              <w:t>Multipla</w:t>
            </w:r>
          </w:p>
        </w:tc>
        <w:tc>
          <w:tcPr>
            <w:tcW w:w="1177" w:type="dxa"/>
            <w:vAlign w:val="center"/>
            <w:hideMark/>
          </w:tcPr>
          <w:p w:rsidRPr="0057356D" w:rsidR="00652CEE" w:rsidP="00761FF4" w:rsidRDefault="00652CEE" w14:paraId="73BEE535" w14:textId="77777777">
            <w:pPr>
              <w:spacing w:after="200"/>
              <w:rPr>
                <w:rFonts w:eastAsiaTheme="minorHAnsi"/>
                <w:sz w:val="20"/>
                <w:szCs w:val="20"/>
                <w:lang w:eastAsia="en-US"/>
              </w:rPr>
            </w:pPr>
            <w:r w:rsidRPr="0057356D">
              <w:rPr>
                <w:rFonts w:eastAsiaTheme="minorHAnsi"/>
                <w:sz w:val="20"/>
                <w:szCs w:val="20"/>
                <w:lang w:eastAsia="en-US"/>
              </w:rPr>
              <w:t>Alla</w:t>
            </w:r>
          </w:p>
        </w:tc>
        <w:tc>
          <w:tcPr>
            <w:tcW w:w="2694" w:type="dxa"/>
            <w:vAlign w:val="center"/>
            <w:hideMark/>
          </w:tcPr>
          <w:p w:rsidRPr="0057356D" w:rsidR="00652CEE" w:rsidP="00761FF4" w:rsidRDefault="00652CEE" w14:paraId="7D6C1BDC" w14:textId="77777777">
            <w:pPr>
              <w:spacing w:after="200"/>
              <w:rPr>
                <w:rFonts w:eastAsiaTheme="minorHAnsi"/>
                <w:sz w:val="20"/>
                <w:szCs w:val="20"/>
                <w:lang w:eastAsia="en-US"/>
              </w:rPr>
            </w:pPr>
            <w:r w:rsidRPr="0057356D">
              <w:rPr>
                <w:rFonts w:eastAsiaTheme="minorHAnsi"/>
                <w:sz w:val="20"/>
                <w:szCs w:val="20"/>
                <w:lang w:eastAsia="en-US"/>
              </w:rPr>
              <w:t>Kontakt med lungmott</w:t>
            </w:r>
          </w:p>
        </w:tc>
      </w:tr>
    </w:tbl>
    <w:p w:rsidRPr="0057356D" w:rsidR="00652CEE" w:rsidP="00652CEE" w:rsidRDefault="00652CEE" w14:paraId="3B45754E" w14:textId="77777777">
      <w:pPr>
        <w:spacing w:after="200"/>
      </w:pPr>
    </w:p>
    <w:p w:rsidRPr="0057356D" w:rsidR="00652CEE" w:rsidP="00652CEE" w:rsidRDefault="00652CEE" w14:paraId="72B207CD" w14:textId="77777777">
      <w:pPr>
        <w:spacing w:after="200"/>
        <w:rPr>
          <w:rFonts w:eastAsiaTheme="minorHAnsi"/>
          <w:b/>
          <w:sz w:val="20"/>
          <w:szCs w:val="20"/>
          <w:lang w:eastAsia="en-US"/>
        </w:rPr>
      </w:pPr>
      <w:r w:rsidRPr="0057356D">
        <w:rPr>
          <w:b/>
        </w:rPr>
        <w:t xml:space="preserve">Subsolidanodulära förändringar </w:t>
      </w:r>
    </w:p>
    <w:tbl>
      <w:tblPr>
        <w:tblW w:w="9178" w:type="dxa"/>
        <w:tblCellMar>
          <w:top w:w="15" w:type="dxa"/>
          <w:left w:w="15" w:type="dxa"/>
          <w:bottom w:w="15" w:type="dxa"/>
          <w:right w:w="15" w:type="dxa"/>
        </w:tblCellMar>
        <w:tblLook w:val="04A0" w:firstRow="1" w:lastRow="0" w:firstColumn="1" w:lastColumn="0" w:noHBand="0" w:noVBand="1"/>
      </w:tblPr>
      <w:tblGrid>
        <w:gridCol w:w="1714"/>
        <w:gridCol w:w="1153"/>
        <w:gridCol w:w="6311"/>
      </w:tblGrid>
      <w:tr w:rsidRPr="0057356D" w:rsidR="00652CEE" w:rsidTr="00761FF4" w14:paraId="5E4F17B8" w14:textId="77777777">
        <w:trPr>
          <w:trHeight w:val="521"/>
        </w:trPr>
        <w:tc>
          <w:tcPr>
            <w:tcW w:w="1714"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32E234D7" w14:textId="77777777">
            <w:pPr>
              <w:spacing w:after="200"/>
              <w:rPr>
                <w:rFonts w:eastAsiaTheme="minorHAnsi"/>
                <w:b/>
                <w:sz w:val="20"/>
                <w:szCs w:val="20"/>
                <w:lang w:eastAsia="en-US"/>
              </w:rPr>
            </w:pPr>
            <w:r w:rsidRPr="0057356D">
              <w:rPr>
                <w:rFonts w:eastAsiaTheme="minorHAnsi"/>
                <w:b/>
                <w:sz w:val="20"/>
                <w:szCs w:val="20"/>
                <w:lang w:eastAsia="en-US"/>
              </w:rPr>
              <w:t>Typ</w:t>
            </w:r>
          </w:p>
        </w:tc>
        <w:tc>
          <w:tcPr>
            <w:tcW w:w="1153"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2B11EF34" w14:textId="77777777">
            <w:pPr>
              <w:spacing w:after="200"/>
              <w:rPr>
                <w:rFonts w:eastAsiaTheme="minorHAnsi"/>
                <w:sz w:val="20"/>
                <w:szCs w:val="20"/>
                <w:lang w:eastAsia="en-US"/>
              </w:rPr>
            </w:pPr>
            <w:r w:rsidRPr="0057356D">
              <w:rPr>
                <w:rFonts w:eastAsiaTheme="minorHAnsi"/>
                <w:sz w:val="20"/>
                <w:szCs w:val="20"/>
                <w:lang w:eastAsia="en-US"/>
              </w:rPr>
              <w:t>Storlek</w:t>
            </w:r>
          </w:p>
        </w:tc>
        <w:tc>
          <w:tcPr>
            <w:tcW w:w="6311"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6A126239" w14:textId="77777777">
            <w:pPr>
              <w:spacing w:after="200"/>
              <w:rPr>
                <w:rFonts w:eastAsiaTheme="minorHAnsi"/>
                <w:sz w:val="20"/>
                <w:szCs w:val="20"/>
                <w:lang w:eastAsia="en-US"/>
              </w:rPr>
            </w:pPr>
            <w:r w:rsidRPr="0057356D">
              <w:rPr>
                <w:rFonts w:eastAsiaTheme="minorHAnsi"/>
                <w:sz w:val="20"/>
                <w:szCs w:val="20"/>
                <w:lang w:eastAsia="en-US"/>
              </w:rPr>
              <w:t>Uppföljning</w:t>
            </w:r>
          </w:p>
        </w:tc>
      </w:tr>
      <w:tr w:rsidRPr="0057356D" w:rsidR="00652CEE" w:rsidTr="00761FF4" w14:paraId="51D71EFA" w14:textId="77777777">
        <w:trPr>
          <w:trHeight w:val="521"/>
        </w:trPr>
        <w:tc>
          <w:tcPr>
            <w:tcW w:w="1714" w:type="dxa"/>
            <w:vMerge w:val="restart"/>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1B4DE715" w14:textId="77777777">
            <w:pPr>
              <w:spacing w:after="200"/>
              <w:rPr>
                <w:rFonts w:eastAsiaTheme="minorHAnsi"/>
                <w:sz w:val="20"/>
                <w:szCs w:val="20"/>
                <w:lang w:eastAsia="en-US"/>
              </w:rPr>
            </w:pPr>
            <w:r w:rsidRPr="0057356D">
              <w:rPr>
                <w:rFonts w:eastAsiaTheme="minorHAnsi"/>
                <w:sz w:val="20"/>
                <w:szCs w:val="20"/>
                <w:lang w:eastAsia="en-US"/>
              </w:rPr>
              <w:t>Groundglass</w:t>
            </w:r>
          </w:p>
        </w:tc>
        <w:tc>
          <w:tcPr>
            <w:tcW w:w="1153"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16A6C010" w14:textId="77777777">
            <w:pPr>
              <w:spacing w:after="200"/>
              <w:rPr>
                <w:rFonts w:eastAsiaTheme="minorHAnsi"/>
                <w:sz w:val="20"/>
                <w:szCs w:val="20"/>
                <w:lang w:eastAsia="en-US"/>
              </w:rPr>
            </w:pPr>
            <w:r w:rsidRPr="0057356D">
              <w:rPr>
                <w:rFonts w:eastAsiaTheme="minorHAnsi"/>
                <w:sz w:val="20"/>
                <w:szCs w:val="20"/>
                <w:lang w:eastAsia="en-US"/>
              </w:rPr>
              <w:t>&lt;6 mm</w:t>
            </w:r>
          </w:p>
        </w:tc>
        <w:tc>
          <w:tcPr>
            <w:tcW w:w="6311"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1622D878" w14:textId="77777777">
            <w:pPr>
              <w:spacing w:after="200"/>
              <w:rPr>
                <w:rFonts w:eastAsiaTheme="minorHAnsi"/>
                <w:sz w:val="20"/>
                <w:szCs w:val="20"/>
                <w:lang w:eastAsia="en-US"/>
              </w:rPr>
            </w:pPr>
            <w:r w:rsidRPr="0057356D">
              <w:rPr>
                <w:rFonts w:eastAsiaTheme="minorHAnsi"/>
                <w:sz w:val="20"/>
                <w:szCs w:val="20"/>
                <w:lang w:eastAsia="en-US"/>
              </w:rPr>
              <w:t>Ingen rutinmässig uppföljning</w:t>
            </w:r>
          </w:p>
        </w:tc>
      </w:tr>
      <w:tr w:rsidRPr="0057356D" w:rsidR="00652CEE" w:rsidTr="00761FF4" w14:paraId="5118968A" w14:textId="77777777">
        <w:trPr>
          <w:trHeight w:val="553"/>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44CC3D2E" w14:textId="77777777">
            <w:pPr>
              <w:spacing w:after="200"/>
              <w:rPr>
                <w:rFonts w:eastAsiaTheme="minorHAnsi"/>
                <w:sz w:val="20"/>
                <w:szCs w:val="20"/>
                <w:lang w:eastAsia="en-US"/>
              </w:rPr>
            </w:pPr>
          </w:p>
        </w:tc>
        <w:tc>
          <w:tcPr>
            <w:tcW w:w="1153"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6A53D7D0" w14:textId="77777777">
            <w:pPr>
              <w:spacing w:after="200"/>
              <w:rPr>
                <w:rFonts w:eastAsiaTheme="minorHAnsi"/>
                <w:sz w:val="20"/>
                <w:szCs w:val="20"/>
                <w:lang w:eastAsia="en-US"/>
              </w:rPr>
            </w:pPr>
            <w:r w:rsidRPr="0057356D">
              <w:rPr>
                <w:rFonts w:eastAsiaTheme="minorHAnsi"/>
                <w:sz w:val="20"/>
                <w:szCs w:val="20"/>
                <w:lang w:eastAsia="en-US"/>
              </w:rPr>
              <w:t>≥6 mm</w:t>
            </w:r>
          </w:p>
        </w:tc>
        <w:tc>
          <w:tcPr>
            <w:tcW w:w="6311"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2D8B390E" w14:textId="77777777">
            <w:pPr>
              <w:spacing w:after="200"/>
              <w:rPr>
                <w:rFonts w:eastAsiaTheme="minorHAnsi"/>
                <w:sz w:val="20"/>
                <w:szCs w:val="20"/>
                <w:lang w:eastAsia="en-US"/>
              </w:rPr>
            </w:pPr>
            <w:r w:rsidRPr="0057356D">
              <w:rPr>
                <w:rFonts w:eastAsiaTheme="minorHAnsi"/>
                <w:sz w:val="20"/>
                <w:szCs w:val="20"/>
                <w:lang w:eastAsia="en-US"/>
              </w:rPr>
              <w:t>Ny DT efter 8 mån, om oförändrad även efter 3 och 5 år</w:t>
            </w:r>
          </w:p>
        </w:tc>
      </w:tr>
      <w:tr w:rsidRPr="0057356D" w:rsidR="00652CEE" w:rsidTr="00761FF4" w14:paraId="6B629494" w14:textId="77777777">
        <w:trPr>
          <w:trHeight w:val="538"/>
        </w:trPr>
        <w:tc>
          <w:tcPr>
            <w:tcW w:w="1714" w:type="dxa"/>
            <w:vMerge w:val="restart"/>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37541EC6" w14:textId="77777777">
            <w:pPr>
              <w:spacing w:after="200"/>
              <w:rPr>
                <w:rFonts w:eastAsiaTheme="minorHAnsi"/>
                <w:sz w:val="20"/>
                <w:szCs w:val="20"/>
                <w:lang w:eastAsia="en-US"/>
              </w:rPr>
            </w:pPr>
            <w:r w:rsidRPr="0057356D">
              <w:rPr>
                <w:rFonts w:eastAsiaTheme="minorHAnsi"/>
                <w:sz w:val="20"/>
                <w:szCs w:val="20"/>
                <w:lang w:eastAsia="en-US"/>
              </w:rPr>
              <w:t>Semisolid</w:t>
            </w:r>
          </w:p>
        </w:tc>
        <w:tc>
          <w:tcPr>
            <w:tcW w:w="1153"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312D6853" w14:textId="77777777">
            <w:pPr>
              <w:spacing w:after="200"/>
              <w:rPr>
                <w:rFonts w:eastAsiaTheme="minorHAnsi"/>
                <w:sz w:val="20"/>
                <w:szCs w:val="20"/>
                <w:lang w:eastAsia="en-US"/>
              </w:rPr>
            </w:pPr>
            <w:r w:rsidRPr="0057356D">
              <w:rPr>
                <w:rFonts w:eastAsiaTheme="minorHAnsi"/>
                <w:sz w:val="20"/>
                <w:szCs w:val="20"/>
                <w:lang w:eastAsia="en-US"/>
              </w:rPr>
              <w:t>&lt;6 mm</w:t>
            </w:r>
          </w:p>
        </w:tc>
        <w:tc>
          <w:tcPr>
            <w:tcW w:w="6311"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3607FC30" w14:textId="77777777">
            <w:pPr>
              <w:spacing w:after="200"/>
              <w:rPr>
                <w:rFonts w:eastAsiaTheme="minorHAnsi"/>
                <w:sz w:val="20"/>
                <w:szCs w:val="20"/>
                <w:lang w:eastAsia="en-US"/>
              </w:rPr>
            </w:pPr>
            <w:r w:rsidRPr="0057356D">
              <w:rPr>
                <w:rFonts w:eastAsiaTheme="minorHAnsi"/>
                <w:sz w:val="20"/>
                <w:szCs w:val="20"/>
                <w:lang w:eastAsia="en-US"/>
              </w:rPr>
              <w:t>Ingen rutinmässig uppföljning</w:t>
            </w:r>
          </w:p>
        </w:tc>
      </w:tr>
      <w:tr w:rsidRPr="0057356D" w:rsidR="00652CEE" w:rsidTr="00761FF4" w14:paraId="18FDEB2A" w14:textId="77777777">
        <w:trPr>
          <w:trHeight w:val="848"/>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3FEAD51F" w14:textId="77777777">
            <w:pPr>
              <w:spacing w:after="200"/>
              <w:rPr>
                <w:rFonts w:eastAsiaTheme="minorHAnsi"/>
                <w:sz w:val="20"/>
                <w:szCs w:val="20"/>
                <w:lang w:eastAsia="en-US"/>
              </w:rPr>
            </w:pPr>
          </w:p>
        </w:tc>
        <w:tc>
          <w:tcPr>
            <w:tcW w:w="1153"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2EFEDAB5" w14:textId="77777777">
            <w:pPr>
              <w:spacing w:after="200"/>
              <w:rPr>
                <w:rFonts w:eastAsiaTheme="minorHAnsi"/>
                <w:sz w:val="20"/>
                <w:szCs w:val="20"/>
                <w:lang w:eastAsia="en-US"/>
              </w:rPr>
            </w:pPr>
            <w:r w:rsidRPr="0057356D">
              <w:rPr>
                <w:rFonts w:eastAsiaTheme="minorHAnsi"/>
                <w:sz w:val="20"/>
                <w:szCs w:val="20"/>
                <w:lang w:eastAsia="en-US"/>
              </w:rPr>
              <w:t>≥6 mm</w:t>
            </w:r>
          </w:p>
        </w:tc>
        <w:tc>
          <w:tcPr>
            <w:tcW w:w="6311"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0219206F" w14:textId="77777777">
            <w:pPr>
              <w:spacing w:after="200"/>
              <w:rPr>
                <w:rFonts w:eastAsiaTheme="minorHAnsi"/>
                <w:sz w:val="20"/>
                <w:szCs w:val="20"/>
                <w:lang w:eastAsia="en-US"/>
              </w:rPr>
            </w:pPr>
            <w:r w:rsidRPr="0057356D">
              <w:rPr>
                <w:rFonts w:eastAsiaTheme="minorHAnsi"/>
                <w:sz w:val="20"/>
                <w:szCs w:val="20"/>
                <w:lang w:eastAsia="en-US"/>
              </w:rPr>
              <w:t>Ny DT efter 4 mån, om oförändrad och solid komponent &lt;6 mm sedan årligen upp till 5 år</w:t>
            </w:r>
          </w:p>
        </w:tc>
      </w:tr>
      <w:tr w:rsidRPr="0057356D" w:rsidR="00652CEE" w:rsidTr="00761FF4" w14:paraId="1EE8FC1A" w14:textId="77777777">
        <w:trPr>
          <w:trHeight w:val="538"/>
        </w:trPr>
        <w:tc>
          <w:tcPr>
            <w:tcW w:w="1714" w:type="dxa"/>
            <w:vMerge w:val="restart"/>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60335D82" w14:textId="77777777">
            <w:pPr>
              <w:spacing w:after="200"/>
              <w:rPr>
                <w:rFonts w:eastAsiaTheme="minorHAnsi"/>
                <w:sz w:val="20"/>
                <w:szCs w:val="20"/>
                <w:lang w:eastAsia="en-US"/>
              </w:rPr>
            </w:pPr>
            <w:r w:rsidRPr="0057356D">
              <w:rPr>
                <w:rFonts w:eastAsiaTheme="minorHAnsi"/>
                <w:sz w:val="20"/>
                <w:szCs w:val="20"/>
                <w:lang w:eastAsia="en-US"/>
              </w:rPr>
              <w:t>Multipla</w:t>
            </w:r>
          </w:p>
        </w:tc>
        <w:tc>
          <w:tcPr>
            <w:tcW w:w="1153"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2D973E5C" w14:textId="77777777">
            <w:pPr>
              <w:spacing w:after="200"/>
              <w:rPr>
                <w:rFonts w:eastAsiaTheme="minorHAnsi"/>
                <w:sz w:val="20"/>
                <w:szCs w:val="20"/>
                <w:lang w:eastAsia="en-US"/>
              </w:rPr>
            </w:pPr>
            <w:r w:rsidRPr="0057356D">
              <w:rPr>
                <w:rFonts w:eastAsiaTheme="minorHAnsi"/>
                <w:sz w:val="20"/>
                <w:szCs w:val="20"/>
                <w:lang w:eastAsia="en-US"/>
              </w:rPr>
              <w:t>&lt;6 mm</w:t>
            </w:r>
          </w:p>
        </w:tc>
        <w:tc>
          <w:tcPr>
            <w:tcW w:w="6311"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1E402C1C" w14:textId="77777777">
            <w:pPr>
              <w:spacing w:after="200"/>
              <w:rPr>
                <w:rFonts w:eastAsiaTheme="minorHAnsi"/>
                <w:sz w:val="20"/>
                <w:szCs w:val="20"/>
                <w:lang w:eastAsia="en-US"/>
              </w:rPr>
            </w:pPr>
            <w:r w:rsidRPr="0057356D">
              <w:rPr>
                <w:rFonts w:eastAsiaTheme="minorHAnsi"/>
                <w:sz w:val="20"/>
                <w:szCs w:val="20"/>
                <w:lang w:eastAsia="en-US"/>
              </w:rPr>
              <w:t>Ny DT efter 4 mån, om oförändrad även efter 2 och 4 år</w:t>
            </w:r>
          </w:p>
        </w:tc>
      </w:tr>
      <w:tr w:rsidRPr="0057356D" w:rsidR="00652CEE" w:rsidTr="00761FF4" w14:paraId="4ACD0A38" w14:textId="77777777">
        <w:trPr>
          <w:trHeight w:val="936"/>
        </w:trPr>
        <w:tc>
          <w:tcPr>
            <w:tcW w:w="0" w:type="auto"/>
            <w:vMerge/>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6B1C2152" w14:textId="77777777">
            <w:pPr>
              <w:spacing w:after="200"/>
              <w:rPr>
                <w:rFonts w:eastAsiaTheme="minorHAnsi"/>
                <w:sz w:val="20"/>
                <w:szCs w:val="20"/>
                <w:lang w:eastAsia="en-US"/>
              </w:rPr>
            </w:pPr>
          </w:p>
        </w:tc>
        <w:tc>
          <w:tcPr>
            <w:tcW w:w="1153"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3137499D" w14:textId="77777777">
            <w:pPr>
              <w:spacing w:after="200"/>
              <w:rPr>
                <w:rFonts w:eastAsiaTheme="minorHAnsi"/>
                <w:sz w:val="20"/>
                <w:szCs w:val="20"/>
                <w:lang w:eastAsia="en-US"/>
              </w:rPr>
            </w:pPr>
            <w:r w:rsidRPr="0057356D">
              <w:rPr>
                <w:rFonts w:eastAsiaTheme="minorHAnsi"/>
                <w:sz w:val="20"/>
                <w:szCs w:val="20"/>
                <w:lang w:eastAsia="en-US"/>
              </w:rPr>
              <w:t>≥6 mm</w:t>
            </w:r>
          </w:p>
        </w:tc>
        <w:tc>
          <w:tcPr>
            <w:tcW w:w="6311" w:type="dxa"/>
            <w:tcBorders>
              <w:top w:val="single" w:color="auto" w:sz="4" w:space="0"/>
              <w:left w:val="single" w:color="auto" w:sz="4" w:space="0"/>
              <w:bottom w:val="single" w:color="auto" w:sz="4" w:space="0"/>
              <w:right w:val="single" w:color="auto" w:sz="4" w:space="0"/>
            </w:tcBorders>
            <w:vAlign w:val="center"/>
            <w:hideMark/>
          </w:tcPr>
          <w:p w:rsidRPr="0057356D" w:rsidR="00652CEE" w:rsidP="00761FF4" w:rsidRDefault="00652CEE" w14:paraId="310FEB92" w14:textId="77777777">
            <w:pPr>
              <w:spacing w:after="200"/>
              <w:rPr>
                <w:rFonts w:eastAsiaTheme="minorHAnsi"/>
                <w:sz w:val="20"/>
                <w:szCs w:val="20"/>
                <w:lang w:eastAsia="en-US"/>
              </w:rPr>
            </w:pPr>
            <w:r w:rsidRPr="0057356D">
              <w:rPr>
                <w:rFonts w:eastAsiaTheme="minorHAnsi"/>
                <w:sz w:val="20"/>
                <w:szCs w:val="20"/>
                <w:lang w:eastAsia="en-US"/>
              </w:rPr>
              <w:t>Ny DT efter 4 mån. Fortsatt uppföljning baseras på mest malignsuspekt komponent</w:t>
            </w:r>
          </w:p>
        </w:tc>
      </w:tr>
    </w:tbl>
    <w:p w:rsidRPr="0057356D" w:rsidR="00652CEE" w:rsidP="00652CEE" w:rsidRDefault="00652CEE" w14:paraId="378C0A9E" w14:textId="77777777">
      <w:pPr>
        <w:rPr>
          <w:rFonts w:eastAsiaTheme="minorHAnsi"/>
          <w:b/>
          <w:szCs w:val="22"/>
          <w:lang w:eastAsia="en-US"/>
        </w:rPr>
      </w:pPr>
      <w:r w:rsidRPr="0057356D">
        <w:rPr>
          <w:rFonts w:eastAsiaTheme="minorHAnsi"/>
          <w:b/>
          <w:szCs w:val="22"/>
          <w:lang w:eastAsia="en-US"/>
        </w:rPr>
        <w:br w:type="page"/>
        <w:t>Riskfaktorer</w:t>
      </w:r>
    </w:p>
    <w:tbl>
      <w:tblPr>
        <w:tblStyle w:val="TableGrid"/>
        <w:tblW w:w="0" w:type="auto"/>
        <w:tblLook w:val="04A0" w:firstRow="1" w:lastRow="0" w:firstColumn="1" w:lastColumn="0" w:noHBand="0" w:noVBand="1"/>
      </w:tblPr>
      <w:tblGrid>
        <w:gridCol w:w="3020"/>
        <w:gridCol w:w="3020"/>
        <w:gridCol w:w="3020"/>
      </w:tblGrid>
      <w:tr w:rsidRPr="0057356D" w:rsidR="00652CEE" w:rsidTr="00761FF4" w14:paraId="79738EEE" w14:textId="77777777">
        <w:tc>
          <w:tcPr>
            <w:tcW w:w="3020" w:type="dxa"/>
          </w:tcPr>
          <w:p w:rsidRPr="0057356D" w:rsidR="00652CEE" w:rsidP="00761FF4" w:rsidRDefault="00652CEE" w14:paraId="12802246" w14:textId="77777777">
            <w:pPr>
              <w:spacing w:after="200"/>
              <w:rPr>
                <w:rFonts w:eastAsiaTheme="minorHAnsi"/>
                <w:szCs w:val="22"/>
                <w:lang w:eastAsia="en-US"/>
              </w:rPr>
            </w:pPr>
            <w:r w:rsidRPr="0057356D">
              <w:rPr>
                <w:rFonts w:eastAsiaTheme="minorHAnsi"/>
                <w:b/>
                <w:bCs/>
                <w:szCs w:val="22"/>
                <w:lang w:eastAsia="en-US"/>
              </w:rPr>
              <w:t>Sannolikhet för malignitet</w:t>
            </w:r>
          </w:p>
        </w:tc>
        <w:tc>
          <w:tcPr>
            <w:tcW w:w="3020" w:type="dxa"/>
          </w:tcPr>
          <w:p w:rsidRPr="0057356D" w:rsidR="00652CEE" w:rsidP="00761FF4" w:rsidRDefault="00652CEE" w14:paraId="58AF86DC" w14:textId="77777777">
            <w:pPr>
              <w:spacing w:after="200"/>
              <w:rPr>
                <w:rFonts w:eastAsiaTheme="minorHAnsi"/>
                <w:szCs w:val="22"/>
                <w:lang w:eastAsia="en-US"/>
              </w:rPr>
            </w:pPr>
          </w:p>
        </w:tc>
        <w:tc>
          <w:tcPr>
            <w:tcW w:w="3020" w:type="dxa"/>
          </w:tcPr>
          <w:p w:rsidRPr="0057356D" w:rsidR="00652CEE" w:rsidP="00761FF4" w:rsidRDefault="00652CEE" w14:paraId="60D57EEF" w14:textId="77777777">
            <w:pPr>
              <w:spacing w:after="200"/>
              <w:rPr>
                <w:rFonts w:eastAsiaTheme="minorHAnsi"/>
                <w:szCs w:val="22"/>
                <w:lang w:eastAsia="en-US"/>
              </w:rPr>
            </w:pPr>
          </w:p>
        </w:tc>
      </w:tr>
      <w:tr w:rsidRPr="0057356D" w:rsidR="00652CEE" w:rsidTr="00761FF4" w14:paraId="66886457" w14:textId="77777777">
        <w:tc>
          <w:tcPr>
            <w:tcW w:w="3020" w:type="dxa"/>
            <w:vAlign w:val="center"/>
          </w:tcPr>
          <w:p w:rsidRPr="0057356D" w:rsidR="00652CEE" w:rsidP="00761FF4" w:rsidRDefault="00652CEE" w14:paraId="613F472E" w14:textId="77777777">
            <w:pPr>
              <w:spacing w:after="200"/>
              <w:rPr>
                <w:rFonts w:eastAsiaTheme="minorHAnsi"/>
                <w:szCs w:val="22"/>
                <w:lang w:eastAsia="en-US"/>
              </w:rPr>
            </w:pPr>
            <w:r w:rsidRPr="0057356D">
              <w:rPr>
                <w:rFonts w:eastAsiaTheme="minorHAnsi"/>
                <w:szCs w:val="22"/>
                <w:lang w:eastAsia="en-US"/>
              </w:rPr>
              <w:t>Låg (&lt;5 %)</w:t>
            </w:r>
          </w:p>
        </w:tc>
        <w:tc>
          <w:tcPr>
            <w:tcW w:w="3020" w:type="dxa"/>
            <w:vAlign w:val="center"/>
          </w:tcPr>
          <w:p w:rsidRPr="0057356D" w:rsidR="00652CEE" w:rsidP="00761FF4" w:rsidRDefault="00652CEE" w14:paraId="539AA054" w14:textId="77777777">
            <w:pPr>
              <w:spacing w:after="200"/>
              <w:rPr>
                <w:rFonts w:eastAsiaTheme="minorHAnsi"/>
                <w:szCs w:val="22"/>
                <w:lang w:eastAsia="en-US"/>
              </w:rPr>
            </w:pPr>
            <w:r w:rsidRPr="0057356D">
              <w:rPr>
                <w:rFonts w:eastAsiaTheme="minorHAnsi"/>
                <w:szCs w:val="22"/>
                <w:lang w:eastAsia="en-US"/>
              </w:rPr>
              <w:t>Intermediär (5-65 %)</w:t>
            </w:r>
          </w:p>
        </w:tc>
        <w:tc>
          <w:tcPr>
            <w:tcW w:w="3020" w:type="dxa"/>
            <w:vAlign w:val="center"/>
          </w:tcPr>
          <w:p w:rsidRPr="0057356D" w:rsidR="00652CEE" w:rsidP="00761FF4" w:rsidRDefault="00652CEE" w14:paraId="6E059094" w14:textId="77777777">
            <w:pPr>
              <w:spacing w:after="200"/>
              <w:rPr>
                <w:rFonts w:eastAsiaTheme="minorHAnsi"/>
                <w:szCs w:val="22"/>
                <w:lang w:eastAsia="en-US"/>
              </w:rPr>
            </w:pPr>
            <w:r w:rsidRPr="0057356D">
              <w:rPr>
                <w:rFonts w:eastAsiaTheme="minorHAnsi"/>
                <w:szCs w:val="22"/>
                <w:lang w:eastAsia="en-US"/>
              </w:rPr>
              <w:t>Hög (&gt;65 %)</w:t>
            </w:r>
          </w:p>
        </w:tc>
      </w:tr>
      <w:tr w:rsidRPr="0057356D" w:rsidR="00652CEE" w:rsidTr="00761FF4" w14:paraId="63DE862C" w14:textId="77777777">
        <w:tc>
          <w:tcPr>
            <w:tcW w:w="3020" w:type="dxa"/>
            <w:hideMark/>
          </w:tcPr>
          <w:p w:rsidRPr="0057356D" w:rsidR="00652CEE" w:rsidP="00761FF4" w:rsidRDefault="00652CEE" w14:paraId="197E5113" w14:textId="77777777">
            <w:pPr>
              <w:spacing w:after="200"/>
              <w:rPr>
                <w:rFonts w:eastAsiaTheme="minorHAnsi"/>
                <w:szCs w:val="22"/>
                <w:lang w:eastAsia="en-US"/>
              </w:rPr>
            </w:pPr>
            <w:r w:rsidRPr="0057356D">
              <w:rPr>
                <w:rFonts w:eastAsiaTheme="minorHAnsi"/>
                <w:szCs w:val="22"/>
                <w:lang w:eastAsia="en-US"/>
              </w:rPr>
              <w:t>Lägre ålder</w:t>
            </w:r>
            <w:r w:rsidRPr="0057356D">
              <w:rPr>
                <w:rFonts w:eastAsiaTheme="minorHAnsi"/>
                <w:szCs w:val="22"/>
                <w:lang w:eastAsia="en-US"/>
              </w:rPr>
              <w:br/>
              <w:t>Mindre rökning</w:t>
            </w:r>
            <w:r w:rsidRPr="0057356D">
              <w:rPr>
                <w:rFonts w:eastAsiaTheme="minorHAnsi"/>
                <w:szCs w:val="22"/>
                <w:lang w:eastAsia="en-US"/>
              </w:rPr>
              <w:br/>
              <w:t>Ingen tidigare cancer</w:t>
            </w:r>
            <w:r w:rsidRPr="0057356D">
              <w:rPr>
                <w:rFonts w:eastAsiaTheme="minorHAnsi"/>
                <w:szCs w:val="22"/>
                <w:lang w:eastAsia="en-US"/>
              </w:rPr>
              <w:br/>
              <w:t>Liten storlek på nodul</w:t>
            </w:r>
            <w:r w:rsidRPr="0057356D">
              <w:rPr>
                <w:rFonts w:eastAsiaTheme="minorHAnsi"/>
                <w:szCs w:val="22"/>
                <w:lang w:eastAsia="en-US"/>
              </w:rPr>
              <w:br/>
              <w:t>Jämna kanter</w:t>
            </w:r>
            <w:r w:rsidRPr="0057356D">
              <w:rPr>
                <w:rFonts w:eastAsiaTheme="minorHAnsi"/>
                <w:szCs w:val="22"/>
                <w:lang w:eastAsia="en-US"/>
              </w:rPr>
              <w:br/>
              <w:t>Lokalisation i mellan- eller underlob</w:t>
            </w:r>
          </w:p>
        </w:tc>
        <w:tc>
          <w:tcPr>
            <w:tcW w:w="3020" w:type="dxa"/>
            <w:hideMark/>
          </w:tcPr>
          <w:p w:rsidRPr="0057356D" w:rsidR="00652CEE" w:rsidP="00761FF4" w:rsidRDefault="00652CEE" w14:paraId="1DF8F5DC" w14:textId="77777777">
            <w:pPr>
              <w:spacing w:after="200"/>
              <w:rPr>
                <w:rFonts w:eastAsiaTheme="minorHAnsi"/>
                <w:szCs w:val="22"/>
                <w:lang w:eastAsia="en-US"/>
              </w:rPr>
            </w:pPr>
            <w:r w:rsidRPr="0057356D">
              <w:rPr>
                <w:rFonts w:eastAsiaTheme="minorHAnsi"/>
                <w:szCs w:val="22"/>
                <w:lang w:eastAsia="en-US"/>
              </w:rPr>
              <w:t>Blandning av låg- och högrisk-faktorer</w:t>
            </w:r>
          </w:p>
        </w:tc>
        <w:tc>
          <w:tcPr>
            <w:tcW w:w="3020" w:type="dxa"/>
            <w:hideMark/>
          </w:tcPr>
          <w:p w:rsidRPr="0057356D" w:rsidR="00652CEE" w:rsidP="00761FF4" w:rsidRDefault="00652CEE" w14:paraId="72FCB5FC" w14:textId="77777777">
            <w:pPr>
              <w:spacing w:after="200"/>
              <w:rPr>
                <w:rFonts w:eastAsiaTheme="minorHAnsi"/>
                <w:szCs w:val="22"/>
                <w:lang w:eastAsia="en-US"/>
              </w:rPr>
            </w:pPr>
            <w:r w:rsidRPr="0057356D">
              <w:rPr>
                <w:rFonts w:eastAsiaTheme="minorHAnsi"/>
                <w:szCs w:val="22"/>
                <w:lang w:eastAsia="en-US"/>
              </w:rPr>
              <w:t>Högre ålder</w:t>
            </w:r>
            <w:r w:rsidRPr="0057356D">
              <w:rPr>
                <w:rFonts w:eastAsiaTheme="minorHAnsi"/>
                <w:szCs w:val="22"/>
                <w:lang w:eastAsia="en-US"/>
              </w:rPr>
              <w:br/>
              <w:t>Tyngre rökning</w:t>
            </w:r>
            <w:r w:rsidRPr="0057356D">
              <w:rPr>
                <w:rFonts w:eastAsiaTheme="minorHAnsi"/>
                <w:szCs w:val="22"/>
                <w:lang w:eastAsia="en-US"/>
              </w:rPr>
              <w:br/>
              <w:t>Tidigare cancer</w:t>
            </w:r>
            <w:r w:rsidRPr="0057356D">
              <w:rPr>
                <w:rFonts w:eastAsiaTheme="minorHAnsi"/>
                <w:szCs w:val="22"/>
                <w:lang w:eastAsia="en-US"/>
              </w:rPr>
              <w:br/>
              <w:t>Större storlek på nodul</w:t>
            </w:r>
            <w:r w:rsidRPr="0057356D">
              <w:rPr>
                <w:rFonts w:eastAsiaTheme="minorHAnsi"/>
                <w:szCs w:val="22"/>
                <w:lang w:eastAsia="en-US"/>
              </w:rPr>
              <w:br/>
              <w:t>Ojämna kanter</w:t>
            </w:r>
            <w:r w:rsidRPr="0057356D">
              <w:rPr>
                <w:rFonts w:eastAsiaTheme="minorHAnsi"/>
                <w:szCs w:val="22"/>
                <w:lang w:eastAsia="en-US"/>
              </w:rPr>
              <w:br/>
              <w:t>Lokalisation i överlob</w:t>
            </w:r>
          </w:p>
        </w:tc>
      </w:tr>
    </w:tbl>
    <w:p w:rsidRPr="0057356D" w:rsidR="0056219C" w:rsidP="0056219C" w:rsidRDefault="0056219C" w14:paraId="77B0DC99" w14:textId="77777777">
      <w:pPr>
        <w:spacing w:after="200"/>
        <w:rPr>
          <w:rFonts w:eastAsiaTheme="minorHAnsi"/>
          <w:szCs w:val="22"/>
          <w:lang w:eastAsia="en-US"/>
        </w:rPr>
      </w:pPr>
    </w:p>
    <w:p w:rsidRPr="0057356D" w:rsidR="00986E04" w:rsidP="00986E04" w:rsidRDefault="00986E04" w14:paraId="4A3BFB2E" w14:textId="77777777"/>
    <w:p w:rsidRPr="0057356D" w:rsidR="0090549C" w:rsidP="00D325CC" w:rsidRDefault="0090549C" w14:paraId="7A04FD69" w14:textId="77777777"/>
    <w:sectPr w:rsidRPr="0057356D" w:rsidR="0090549C" w:rsidSect="004B7A20">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9E4F" w14:textId="77777777" w:rsidR="0056219C" w:rsidRDefault="0056219C" w:rsidP="00332D94">
      <w:r>
        <w:separator/>
      </w:r>
    </w:p>
  </w:endnote>
  <w:endnote w:type="continuationSeparator" w:id="0">
    <w:p w14:paraId="43A94F74" w14:textId="77777777" w:rsidR="0056219C" w:rsidRDefault="0056219C"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88273A"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8273A"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8273A" w14:paraId="3D266039" w14:textId="77777777">
          <w:pPr>
            <w:pStyle w:val="Footer"/>
            <w:rPr>
              <w:sz w:val="20"/>
            </w:rPr>
          </w:pPr>
          <w:r w:rsidRPr="00730DA5">
            <w:rPr>
              <w:sz w:val="20"/>
            </w:rPr>
            <w:t>Rutin: Handläggning av accidentellt upptäckta noduli på lunga i Region Halland</w:t>
          </w:r>
        </w:p>
      </w:tc>
      <w:tc>
        <w:tcPr>
          <w:tcW w:w="1933" w:type="dxa"/>
        </w:tcPr>
        <w:p w:rsidR="0086669C" w:rsidP="0086669C" w:rsidRDefault="0088273A"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8273A" w14:paraId="587C5A37" w14:textId="770834EF">
          <w:pPr>
            <w:pStyle w:val="Footer"/>
            <w:rPr>
              <w:sz w:val="20"/>
            </w:rPr>
          </w:pPr>
          <w:r w:rsidRPr="37904626">
            <w:rPr>
              <w:sz w:val="20"/>
              <w:szCs w:val="20"/>
            </w:rPr>
            <w:t xml:space="preserve">Fastställd av: Hälso- och sjukvårdsdirektör, Publicerad: 2022-09-22</w:t>
          </w:r>
          <w:r w:rsidRPr="37904626">
            <w:rPr>
              <w:sz w:val="20"/>
              <w:szCs w:val="20"/>
            </w:rPr>
            <w:t/>
          </w:r>
          <w:r w:rsidRPr="002C73BB">
            <w:rPr>
              <w:sz w:val="20"/>
              <w:szCs w:val="20"/>
            </w:rPr>
            <w:t/>
          </w:r>
          <w:r w:rsidRPr="37904626">
            <w:rPr>
              <w:sz w:val="20"/>
              <w:szCs w:val="20"/>
            </w:rPr>
            <w:t/>
          </w:r>
        </w:p>
      </w:tc>
      <w:tc>
        <w:tcPr>
          <w:tcW w:w="1933" w:type="dxa"/>
        </w:tcPr>
        <w:p w:rsidRPr="00CE3B56" w:rsidR="0086669C" w:rsidP="0086669C" w:rsidRDefault="0088273A"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8273A" w14:paraId="62B6D4D4" w14:textId="77777777">
          <w:pPr>
            <w:pStyle w:val="Footer"/>
            <w:rPr>
              <w:sz w:val="20"/>
              <w:szCs w:val="20"/>
            </w:rPr>
          </w:pPr>
          <w:r>
            <w:rPr>
              <w:sz w:val="20"/>
            </w:rPr>
            <w:t xml:space="preserve">Huvudförfattare: Seidal Kristin HS MED</w:t>
          </w:r>
          <w:r w:rsidRPr="001E66B2">
            <w:rPr>
              <w:sz w:val="20"/>
            </w:rPr>
            <w:t/>
          </w:r>
        </w:p>
      </w:tc>
      <w:tc>
        <w:tcPr>
          <w:tcW w:w="1933" w:type="dxa"/>
        </w:tcPr>
        <w:p w:rsidRPr="00CE3B56" w:rsidR="0086669C" w:rsidP="0086669C" w:rsidRDefault="0088273A" w14:paraId="1B0FB7E9" w14:textId="77777777">
          <w:pPr>
            <w:pStyle w:val="Footer"/>
            <w:jc w:val="right"/>
            <w:rPr>
              <w:sz w:val="20"/>
            </w:rPr>
          </w:pPr>
        </w:p>
      </w:tc>
    </w:tr>
  </w:tbl>
  <w:p w:rsidR="0086669C" w:rsidRDefault="0088273A"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88273A" w14:paraId="20748AEE" w14:textId="77777777">
          <w:pPr>
            <w:pStyle w:val="Footer"/>
            <w:rPr>
              <w:sz w:val="20"/>
            </w:rPr>
          </w:pPr>
          <w:r w:rsidRPr="00730DA5">
            <w:rPr>
              <w:sz w:val="20"/>
            </w:rPr>
            <w:t>Rutin: Handläggning av accidentellt upptäckta noduli på lunga i Region Halland</w:t>
          </w:r>
        </w:p>
      </w:tc>
      <w:tc>
        <w:tcPr>
          <w:tcW w:w="1933" w:type="dxa"/>
        </w:tcPr>
        <w:p w:rsidR="000D6F1B" w:rsidP="000D6F1B" w:rsidRDefault="0088273A"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88273A" w14:paraId="4CE66246" w14:textId="05F0BAC6">
          <w:pPr>
            <w:pStyle w:val="Footer"/>
            <w:rPr>
              <w:sz w:val="20"/>
            </w:rPr>
          </w:pPr>
          <w:r w:rsidRPr="37904626">
            <w:rPr>
              <w:sz w:val="20"/>
              <w:szCs w:val="20"/>
            </w:rPr>
            <w:t xml:space="preserve">Fastställd av: Hälso- och sjukvårdsdirektör, Publicerad: 2022-09-22</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88273A"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88273A" w14:paraId="41CB39C8" w14:textId="77777777">
          <w:pPr>
            <w:pStyle w:val="Footer"/>
            <w:rPr>
              <w:sz w:val="20"/>
              <w:szCs w:val="20"/>
            </w:rPr>
          </w:pPr>
          <w:r>
            <w:rPr>
              <w:sz w:val="20"/>
            </w:rPr>
            <w:t xml:space="preserve">Huvudförfattare: Seidal Kristin HS MED</w:t>
          </w:r>
          <w:r w:rsidRPr="001E66B2">
            <w:rPr>
              <w:sz w:val="20"/>
            </w:rPr>
            <w:t/>
          </w:r>
        </w:p>
      </w:tc>
      <w:tc>
        <w:tcPr>
          <w:tcW w:w="1933" w:type="dxa"/>
        </w:tcPr>
        <w:p w:rsidRPr="00CE3B56" w:rsidR="000D6F1B" w:rsidP="000D6F1B" w:rsidRDefault="0088273A" w14:paraId="2C7473F1" w14:textId="77777777">
          <w:pPr>
            <w:pStyle w:val="Footer"/>
            <w:jc w:val="right"/>
            <w:rPr>
              <w:sz w:val="20"/>
            </w:rPr>
          </w:pPr>
        </w:p>
      </w:tc>
    </w:tr>
  </w:tbl>
  <w:p w:rsidR="000D6F1B" w:rsidRDefault="0088273A"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88273A" w14:paraId="70DA62BB" w14:textId="77777777">
          <w:pPr>
            <w:pStyle w:val="Footer"/>
            <w:rPr>
              <w:sz w:val="20"/>
            </w:rPr>
          </w:pPr>
          <w:r w:rsidRPr="00730DA5">
            <w:rPr>
              <w:sz w:val="20"/>
            </w:rPr>
            <w:t>Rutin: Handläggning av accidentellt upptäckta noduli på lunga i Region Halland</w:t>
          </w:r>
        </w:p>
      </w:tc>
      <w:tc>
        <w:tcPr>
          <w:tcW w:w="1933" w:type="dxa"/>
        </w:tcPr>
        <w:p w:rsidR="000D6F1B" w:rsidP="000D6F1B" w:rsidRDefault="0088273A"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88273A" w14:paraId="2B59EE43" w14:textId="55276C7F">
          <w:pPr>
            <w:pStyle w:val="Footer"/>
            <w:rPr>
              <w:sz w:val="20"/>
            </w:rPr>
          </w:pPr>
          <w:r w:rsidRPr="37904626">
            <w:rPr>
              <w:sz w:val="20"/>
              <w:szCs w:val="20"/>
            </w:rPr>
            <w:t xml:space="preserve">Fastställd av: Hälso- och sjukvårdsdirektör, Publicerad: 2022-09-22</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88273A"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88273A" w14:paraId="3A930822" w14:textId="77777777">
          <w:pPr>
            <w:pStyle w:val="Footer"/>
            <w:rPr>
              <w:sz w:val="20"/>
              <w:szCs w:val="20"/>
            </w:rPr>
          </w:pPr>
          <w:r>
            <w:rPr>
              <w:sz w:val="20"/>
            </w:rPr>
            <w:t xml:space="preserve">Huvudförfattare: Seidal Kristin HS MED</w:t>
          </w:r>
          <w:r w:rsidRPr="001E66B2">
            <w:rPr>
              <w:sz w:val="20"/>
            </w:rPr>
            <w:t/>
          </w:r>
        </w:p>
      </w:tc>
      <w:tc>
        <w:tcPr>
          <w:tcW w:w="1933" w:type="dxa"/>
        </w:tcPr>
        <w:p w:rsidRPr="00CE3B56" w:rsidR="000D6F1B" w:rsidP="000D6F1B" w:rsidRDefault="0088273A" w14:paraId="35ABC5A9" w14:textId="77777777">
          <w:pPr>
            <w:pStyle w:val="Footer"/>
            <w:jc w:val="right"/>
            <w:rPr>
              <w:sz w:val="20"/>
            </w:rPr>
          </w:pPr>
        </w:p>
      </w:tc>
    </w:tr>
  </w:tbl>
  <w:p w:rsidR="00AB2F14" w:rsidRDefault="0088273A"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88273A"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88273A" w14:paraId="0BD4DF7E" w14:textId="77777777">
          <w:pPr>
            <w:pStyle w:val="Footer"/>
            <w:rPr>
              <w:sz w:val="20"/>
            </w:rPr>
          </w:pPr>
          <w:r w:rsidRPr="00730DA5">
            <w:rPr>
              <w:sz w:val="20"/>
            </w:rPr>
            <w:t>Rutin: Handläggning av accidentellt upptäckta noduli på lunga i Region Halland</w:t>
          </w:r>
        </w:p>
      </w:tc>
      <w:tc>
        <w:tcPr>
          <w:tcW w:w="1933" w:type="dxa"/>
        </w:tcPr>
        <w:p w:rsidR="00256277" w:rsidP="0086669C" w:rsidRDefault="0088273A"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88273A" w14:paraId="22DEC7FD" w14:textId="069A1002">
          <w:pPr>
            <w:pStyle w:val="Footer"/>
            <w:rPr>
              <w:sz w:val="20"/>
            </w:rPr>
          </w:pPr>
          <w:r w:rsidRPr="37904626">
            <w:rPr>
              <w:sz w:val="20"/>
              <w:szCs w:val="20"/>
            </w:rPr>
            <w:t xml:space="preserve">Fastställd av: Hälso- och sjukvårdsdirektör, Publicerad: 2022-09-22</w:t>
          </w:r>
          <w:r w:rsidRPr="37904626">
            <w:rPr>
              <w:sz w:val="20"/>
              <w:szCs w:val="20"/>
            </w:rPr>
            <w:t/>
          </w:r>
          <w:r w:rsidRPr="002C73BB">
            <w:rPr>
              <w:sz w:val="20"/>
              <w:szCs w:val="20"/>
            </w:rPr>
            <w:t/>
          </w:r>
          <w:r w:rsidRPr="37904626">
            <w:rPr>
              <w:sz w:val="20"/>
              <w:szCs w:val="20"/>
            </w:rPr>
            <w:t/>
          </w:r>
        </w:p>
      </w:tc>
      <w:tc>
        <w:tcPr>
          <w:tcW w:w="1933" w:type="dxa"/>
        </w:tcPr>
        <w:p w:rsidRPr="00CE3B56" w:rsidR="00256277" w:rsidP="0086669C" w:rsidRDefault="0088273A"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88273A" w14:paraId="75CFE404" w14:textId="77777777">
          <w:pPr>
            <w:pStyle w:val="Footer"/>
            <w:rPr>
              <w:sz w:val="20"/>
              <w:szCs w:val="20"/>
            </w:rPr>
          </w:pPr>
          <w:r>
            <w:rPr>
              <w:sz w:val="20"/>
            </w:rPr>
            <w:t xml:space="preserve">Huvudförfattare: Seidal Kristin HS MED</w:t>
          </w:r>
          <w:r w:rsidRPr="001E66B2">
            <w:rPr>
              <w:sz w:val="20"/>
            </w:rPr>
            <w:t/>
          </w:r>
        </w:p>
      </w:tc>
      <w:tc>
        <w:tcPr>
          <w:tcW w:w="1933" w:type="dxa"/>
        </w:tcPr>
        <w:p w:rsidRPr="00CE3B56" w:rsidR="00256277" w:rsidP="0086669C" w:rsidRDefault="0088273A" w14:paraId="436B6CFB" w14:textId="77777777">
          <w:pPr>
            <w:pStyle w:val="Footer"/>
            <w:jc w:val="right"/>
            <w:rPr>
              <w:sz w:val="20"/>
            </w:rPr>
          </w:pPr>
        </w:p>
      </w:tc>
    </w:tr>
  </w:tbl>
  <w:p w:rsidR="00256277" w:rsidRDefault="0088273A"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88273A"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7EA4" w14:textId="77777777" w:rsidR="0056219C" w:rsidRDefault="0056219C" w:rsidP="00332D94">
      <w:r>
        <w:separator/>
      </w:r>
    </w:p>
  </w:footnote>
  <w:footnote w:type="continuationSeparator" w:id="0">
    <w:p w14:paraId="7F42B277" w14:textId="77777777" w:rsidR="0056219C" w:rsidRDefault="0056219C"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88273A"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88273A"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88273A"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88273A"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88273A"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88273A"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8273A"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88273A"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88273A"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88273A"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88273A"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88273A"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88273A"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88273A"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AC008E"/>
    <w:multiLevelType w:val="hybridMultilevel"/>
    <w:tmpl w:val="E772B5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6513708"/>
    <w:multiLevelType w:val="hybridMultilevel"/>
    <w:tmpl w:val="D7600EAC"/>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79042C6"/>
    <w:multiLevelType w:val="hybridMultilevel"/>
    <w:tmpl w:val="EBAE0D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70682369">
    <w:abstractNumId w:val="11"/>
  </w:num>
  <w:num w:numId="2" w16cid:durableId="962080543">
    <w:abstractNumId w:val="13"/>
  </w:num>
  <w:num w:numId="3" w16cid:durableId="391007103">
    <w:abstractNumId w:val="12"/>
  </w:num>
  <w:num w:numId="4" w16cid:durableId="216817584">
    <w:abstractNumId w:val="4"/>
  </w:num>
  <w:num w:numId="5" w16cid:durableId="1240558124">
    <w:abstractNumId w:val="6"/>
  </w:num>
  <w:num w:numId="6" w16cid:durableId="2037922137">
    <w:abstractNumId w:val="9"/>
  </w:num>
  <w:num w:numId="7" w16cid:durableId="1795296274">
    <w:abstractNumId w:val="1"/>
  </w:num>
  <w:num w:numId="8" w16cid:durableId="77867953">
    <w:abstractNumId w:val="7"/>
  </w:num>
  <w:num w:numId="9" w16cid:durableId="1850681343">
    <w:abstractNumId w:val="8"/>
  </w:num>
  <w:num w:numId="10" w16cid:durableId="1721199988">
    <w:abstractNumId w:val="5"/>
  </w:num>
  <w:num w:numId="11" w16cid:durableId="1591887817">
    <w:abstractNumId w:val="0"/>
  </w:num>
  <w:num w:numId="12" w16cid:durableId="548495752">
    <w:abstractNumId w:val="3"/>
  </w:num>
  <w:num w:numId="13" w16cid:durableId="306085122">
    <w:abstractNumId w:val="2"/>
  </w:num>
  <w:num w:numId="14" w16cid:durableId="942497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F6"/>
    <w:rsid w:val="0004676D"/>
    <w:rsid w:val="000503FD"/>
    <w:rsid w:val="00071C4D"/>
    <w:rsid w:val="00073FB0"/>
    <w:rsid w:val="00087B68"/>
    <w:rsid w:val="000B0C89"/>
    <w:rsid w:val="00117E74"/>
    <w:rsid w:val="00167844"/>
    <w:rsid w:val="0018206E"/>
    <w:rsid w:val="001A6570"/>
    <w:rsid w:val="00225E0B"/>
    <w:rsid w:val="00246F62"/>
    <w:rsid w:val="00271080"/>
    <w:rsid w:val="002D0241"/>
    <w:rsid w:val="002E0A96"/>
    <w:rsid w:val="002E4553"/>
    <w:rsid w:val="00316452"/>
    <w:rsid w:val="00332D94"/>
    <w:rsid w:val="00374732"/>
    <w:rsid w:val="003A2FF6"/>
    <w:rsid w:val="003B369F"/>
    <w:rsid w:val="003C5B41"/>
    <w:rsid w:val="003D2710"/>
    <w:rsid w:val="003E537C"/>
    <w:rsid w:val="00406C20"/>
    <w:rsid w:val="0040746E"/>
    <w:rsid w:val="00431B5C"/>
    <w:rsid w:val="004625ED"/>
    <w:rsid w:val="004A4717"/>
    <w:rsid w:val="004B7A20"/>
    <w:rsid w:val="004F11D7"/>
    <w:rsid w:val="005140DE"/>
    <w:rsid w:val="00515287"/>
    <w:rsid w:val="0056219C"/>
    <w:rsid w:val="0057356D"/>
    <w:rsid w:val="00581405"/>
    <w:rsid w:val="005D151B"/>
    <w:rsid w:val="005E5644"/>
    <w:rsid w:val="00614116"/>
    <w:rsid w:val="00620935"/>
    <w:rsid w:val="00633C84"/>
    <w:rsid w:val="00647E41"/>
    <w:rsid w:val="00652CEE"/>
    <w:rsid w:val="006534D8"/>
    <w:rsid w:val="00693B29"/>
    <w:rsid w:val="00696200"/>
    <w:rsid w:val="006A7B10"/>
    <w:rsid w:val="006C4A08"/>
    <w:rsid w:val="00713D71"/>
    <w:rsid w:val="0074069B"/>
    <w:rsid w:val="0075659A"/>
    <w:rsid w:val="00795482"/>
    <w:rsid w:val="007F5DA3"/>
    <w:rsid w:val="008160E0"/>
    <w:rsid w:val="00846AAF"/>
    <w:rsid w:val="0085051C"/>
    <w:rsid w:val="008520E1"/>
    <w:rsid w:val="0088273A"/>
    <w:rsid w:val="00886B6D"/>
    <w:rsid w:val="00903BFD"/>
    <w:rsid w:val="0090549C"/>
    <w:rsid w:val="00910FDD"/>
    <w:rsid w:val="00922598"/>
    <w:rsid w:val="00935632"/>
    <w:rsid w:val="00940ED2"/>
    <w:rsid w:val="00976C47"/>
    <w:rsid w:val="009806F9"/>
    <w:rsid w:val="00986E04"/>
    <w:rsid w:val="009872EE"/>
    <w:rsid w:val="009D5FFA"/>
    <w:rsid w:val="009E74E6"/>
    <w:rsid w:val="009F30FE"/>
    <w:rsid w:val="009F76CD"/>
    <w:rsid w:val="00A0430F"/>
    <w:rsid w:val="00A33719"/>
    <w:rsid w:val="00A657B9"/>
    <w:rsid w:val="00AB0079"/>
    <w:rsid w:val="00AB14D2"/>
    <w:rsid w:val="00AE4A6F"/>
    <w:rsid w:val="00B2523E"/>
    <w:rsid w:val="00B729B2"/>
    <w:rsid w:val="00B758DA"/>
    <w:rsid w:val="00BD0566"/>
    <w:rsid w:val="00BD31C6"/>
    <w:rsid w:val="00BE2387"/>
    <w:rsid w:val="00C1580D"/>
    <w:rsid w:val="00C17F9A"/>
    <w:rsid w:val="00C43323"/>
    <w:rsid w:val="00C56306"/>
    <w:rsid w:val="00CA4C4F"/>
    <w:rsid w:val="00CA765F"/>
    <w:rsid w:val="00CB3BB1"/>
    <w:rsid w:val="00CB56E6"/>
    <w:rsid w:val="00CC7620"/>
    <w:rsid w:val="00D07F83"/>
    <w:rsid w:val="00D325CC"/>
    <w:rsid w:val="00D67040"/>
    <w:rsid w:val="00DD12E6"/>
    <w:rsid w:val="00DE34B3"/>
    <w:rsid w:val="00DF2E43"/>
    <w:rsid w:val="00E03E34"/>
    <w:rsid w:val="00E069BC"/>
    <w:rsid w:val="00E16D46"/>
    <w:rsid w:val="00E71832"/>
    <w:rsid w:val="00EA3323"/>
    <w:rsid w:val="00F01D75"/>
    <w:rsid w:val="00F15B3D"/>
    <w:rsid w:val="00FA22EF"/>
    <w:rsid w:val="00FB4D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AFAAF"/>
  <w15:docId w15:val="{8A974B18-272E-49A8-8E90-202F4DCF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56D"/>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link w:val="Heading4Char"/>
    <w:semiHidden/>
    <w:unhideWhenUsed/>
    <w:qFormat/>
    <w:rsid w:val="00AE4A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4Char">
    <w:name w:val="Heading 4 Char"/>
    <w:basedOn w:val="DefaultParagraphFont"/>
    <w:link w:val="Heading4"/>
    <w:semiHidden/>
    <w:rsid w:val="00AE4A6F"/>
    <w:rPr>
      <w:rFonts w:asciiTheme="majorHAnsi" w:eastAsiaTheme="majorEastAsia" w:hAnsiTheme="majorHAnsi" w:cstheme="majorBidi"/>
      <w:i/>
      <w:iCs/>
      <w:color w:val="365F91" w:themeColor="accent1" w:themeShade="BF"/>
      <w:sz w:val="22"/>
      <w:szCs w:val="26"/>
    </w:rPr>
  </w:style>
  <w:style w:type="character" w:styleId="UnresolvedMention">
    <w:name w:val="Unresolved Mention"/>
    <w:basedOn w:val="DefaultParagraphFont"/>
    <w:uiPriority w:val="99"/>
    <w:semiHidden/>
    <w:unhideWhenUsed/>
    <w:rsid w:val="00C56306"/>
    <w:rPr>
      <w:color w:val="605E5C"/>
      <w:shd w:val="clear" w:color="auto" w:fill="E1DFDD"/>
    </w:rPr>
  </w:style>
  <w:style w:type="character" w:styleId="FollowedHyperlink">
    <w:name w:val="FollowedHyperlink"/>
    <w:basedOn w:val="DefaultParagraphFont"/>
    <w:semiHidden/>
    <w:unhideWhenUsed/>
    <w:rsid w:val="0056219C"/>
    <w:rPr>
      <w:color w:val="800080" w:themeColor="followedHyperlink"/>
      <w:u w:val="single"/>
    </w:rPr>
  </w:style>
  <w:style w:type="character" w:customStyle="1" w:styleId="Rubrik1Char">
    <w:name w:val="Rubrik 1 Char"/>
    <w:basedOn w:val="DefaultParagraphFont"/>
    <w:rsid w:val="00652CEE"/>
    <w:rPr>
      <w:rFonts w:ascii="Arial" w:eastAsia="Calibri" w:hAnsi="Arial" w:cs="Arial"/>
      <w:b/>
      <w:sz w:val="32"/>
      <w:szCs w:val="28"/>
      <w:lang w:eastAsia="en-US"/>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4311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kunskapsbanken.cancercentrum.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vardgivare.regionhalland.se/app/plugins/region-halland-api-styrda-dokument/download/get_dokument.php?documentGUID=RH-999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7020d13-187d-4fc8-9816-bd01783b86ee">
      <Value>4</Value>
      <Value>60</Value>
      <Value>3</Value>
      <Value>9</Value>
      <Value>28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Vildebrandt Ems RK HÄLSO- OCH SJUKVÅRD</DisplayName>
        <AccountId>44</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Info xmlns="http://schemas.microsoft.com/office/infopath/2007/PartnerControls">
          <TermName xmlns="http://schemas.microsoft.com/office/infopath/2007/PartnerControls">Patient</TermName>
          <TermId xmlns="http://schemas.microsoft.com/office/infopath/2007/PartnerControls">120a2a3f-4920-404d-a868-c1e08ddbbcbc</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n434ae7090044749a7747789e02b7a77>
    <PublishingExpirationDate xmlns="a97f9b0c-1ea2-4ed0-8c65-79406306dd43" xsi:nil="true"/>
    <PublishingStartDate xmlns="a97f9b0c-1ea2-4ed0-8c65-79406306dd43" xsi:nil="true"/>
    <RHI_ReviewersMulti xmlns="d7020d13-187d-4fc8-9816-bd01783b86ee">
      <UserInfo>
        <DisplayName/>
        <AccountId xsi:nil="true"/>
        <AccountType/>
      </UserInfo>
    </RHI_ReviewersMulti>
    <FSCD_DocumentIssuer xmlns="d7020d13-187d-4fc8-9816-bd01783b86ee">
      <UserInfo>
        <DisplayName>Seidal Kristin HS MED</DisplayName>
        <AccountId>219</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0849bedd3a249eb9d115151127e3d17>
    <RHI_ApproverDisplay xmlns="d7020d13-187d-4fc8-9816-bd01783b86ee">Hälso- och sjukvårdsdirektör</RHI_ApproverDisplay>
    <RHI_ApprovedDate xmlns="d7020d13-187d-4fc8-9816-bd01783b86ee">2022-09-21T22:00:00+00:00</RHI_ApprovedDate>
    <FSCD_Source xmlns="d7020d13-187d-4fc8-9816-bd01783b86ee">92a44bcc-de74-480a-987b-0f08d5337d44#e79df2dc-2a29-408a-a817-2f5ed3f46219</FSCD_Source>
    <FSCD_DocumentEdition xmlns="d7020d13-187d-4fc8-9816-bd01783b86ee">3</FSCD_DocumentEdition>
    <FSCD_ApprovedBy xmlns="d7020d13-187d-4fc8-9816-bd01783b86ee">
      <UserInfo>
        <DisplayName/>
        <AccountId>44</AccountId>
        <AccountType/>
      </UserInfo>
    </FSCD_ApprovedBy>
    <FSCD_DocumentId xmlns="d7020d13-187d-4fc8-9816-bd01783b86ee">7825d7cd-1df3-4b0c-8960-3bec57af74e1</FSCD_DocumentId>
    <FSCD_IsPublished xmlns="d7020d13-187d-4fc8-9816-bd01783b86ee">3.0</FSCD_IsPublished>
    <RHI_ApprovedDate_Temp xmlns="a97f9b0c-1ea2-4ed0-8c65-79406306dd43">2022-09-21T22:00:00+00:00</RHI_ApprovedDate_Temp>
    <RHI_ApproverDisplay_Temp xmlns="a97f9b0c-1ea2-4ed0-8c65-79406306dd43">Hälso- och sjukvårdsdirektör</RHI_ApproverDisplay_Temp>
    <RHI_ApprovedRole_Temp xmlns="a97f9b0c-1ea2-4ed0-8c65-79406306dd43">Hälso- och sjukvårdsdirektör</RHI_ApprovedRole_Temp>
    <FSCD_DocumentEdition_Temp xmlns="a97f9b0c-1ea2-4ed0-8c65-79406306dd43">3</FSCD_DocumentEdition_Temp>
    <FSCD_DocumentId_Temp xmlns="a97f9b0c-1ea2-4ed0-8c65-79406306dd43">7825d7cd-1df3-4b0c-8960-3bec57af74e1</FSCD_DocumentId_Temp>
    <FSCD_ReviewReminder xmlns="d7020d13-187d-4fc8-9816-bd01783b86ee">12</FSCD_ReviewRemin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B35A1B1-D9D1-447A-8C8E-338426762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6A869-F032-41F2-B112-37A19C979E2F}">
  <ds:schemaRefs>
    <ds:schemaRef ds:uri="e79df2dc-2a29-408a-a817-2f5ed3f46219"/>
    <ds:schemaRef ds:uri="http://purl.org/dc/dcmitype/"/>
    <ds:schemaRef ds:uri="http://purl.org/dc/terms/"/>
    <ds:schemaRef ds:uri="http://purl.org/dc/elements/1.1/"/>
    <ds:schemaRef ds:uri="f831ce70-251b-42d3-aaa2-4e71365cad12"/>
    <ds:schemaRef ds:uri="http://schemas.openxmlformats.org/package/2006/metadata/core-properties"/>
    <ds:schemaRef ds:uri="http://schemas.microsoft.com/office/infopath/2007/PartnerControls"/>
    <ds:schemaRef ds:uri="http://schemas.microsoft.com/sharepoint/v4"/>
    <ds:schemaRef ds:uri="http://schemas.microsoft.com/office/2006/documentManagement/types"/>
    <ds:schemaRef ds:uri="http://schemas.microsoft.com/sharepoint/v3"/>
    <ds:schemaRef ds:uri="http://schemas.microsoft.com/office/2006/metadata/properties"/>
    <ds:schemaRef ds:uri="http://www.w3.org/XML/1998/namespace"/>
    <ds:schemaRef ds:uri="d7020d13-187d-4fc8-9816-bd01783b86ee"/>
    <ds:schemaRef ds:uri="a97f9b0c-1ea2-4ed0-8c65-79406306dd43"/>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6B543CA3-A8BE-4F56-B63E-1C52B07C5C55}">
  <ds:schemaRefs>
    <ds:schemaRef ds:uri="http://schemas.openxmlformats.org/officeDocument/2006/bibliography"/>
  </ds:schemaRefs>
</ds:datastoreItem>
</file>

<file path=customXml/itemProps5.xml><?xml version="1.0" encoding="utf-8"?>
<ds:datastoreItem xmlns:ds="http://schemas.openxmlformats.org/officeDocument/2006/customXml" ds:itemID="{3CC3E6DA-33B8-4154-A2B3-613D6535003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958</Words>
  <Characters>5079</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Handläggning av accidentellt upptäckta noduli på lunga i Region Halland</vt:lpstr>
      <vt:lpstr>Innehållsmall styrda dokument (grunddokument)</vt:lpstr>
    </vt:vector>
  </TitlesOfParts>
  <Company>Microsoft</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Handläggning av accidentellt upptäckta noduli på lunga i Region Halland</dc:title>
  <dc:subject/>
  <dc:creator>Andersson Petra RK HÄLSO- OCH SJUKVÅRD</dc:creator>
  <cp:keywords/>
  <dc:description/>
  <cp:lastModifiedBy>Haddad Elias RK EXTERN RESURS</cp:lastModifiedBy>
  <cp:revision>7</cp:revision>
  <cp:lastPrinted>2013-06-04T11:54:00Z</cp:lastPrinted>
  <dcterms:created xsi:type="dcterms:W3CDTF">2022-08-25T12:21:00Z</dcterms:created>
  <dcterms:modified xsi:type="dcterms:W3CDTF">2023-04-06T03:27:00Z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7825d7cd-1df3-4b0c-8960-3bec57af74e1</vt:lpwstr>
  </property>
  <property fmtid="{D5CDD505-2E9C-101B-9397-08002B2CF9AE}" pid="5" name="RHI_MSChapter">
    <vt:lpwstr/>
  </property>
  <property fmtid="{D5CDD505-2E9C-101B-9397-08002B2CF9AE}" pid="6" name="RHI_MeSHMulti">
    <vt:lpwstr/>
  </property>
  <property fmtid="{D5CDD505-2E9C-101B-9397-08002B2CF9AE}" pid="7" name="RHI_AppliesToOrganizationMulti">
    <vt:lpwstr>3;#Region Halland|d72d8b1f-b373-4815-ab51-a5608c837237</vt:lpwstr>
  </property>
  <property fmtid="{D5CDD505-2E9C-101B-9397-08002B2CF9AE}" pid="8" name="RHI_KeywordsMulti">
    <vt:lpwstr>60;#Vårdgivarwebben|a3a2876a-cae2-4a49-a05e-c2d615d2551b;#28;#Patient|120a2a3f-4920-404d-a868-c1e08ddbbcbc</vt:lpwstr>
  </property>
  <property fmtid="{D5CDD505-2E9C-101B-9397-08002B2CF9AE}" pid="9" name="RHI_ApprovedRole">
    <vt:lpwstr>4;#Hälso- och sjukvårdsdirektör|88a42f71-2423-4191-94cd-48b5a933efeb</vt:lpwstr>
  </property>
  <property fmtid="{D5CDD505-2E9C-101B-9397-08002B2CF9AE}" pid="10" name="URL">
    <vt:lpwstr/>
  </property>
</Properties>
</file>