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2335" w:rsidP="00BA2335" w:rsidRDefault="00BA2335" w14:paraId="2C17BAF1" w14:textId="77777777">
      <w:pPr>
        <w:pStyle w:val="Rubrik"/>
      </w:pPr>
      <w:proofErr w:type="spellStart"/>
      <w:r w:rsidRPr="4881345A">
        <w:t>Perioperativ hantering av peroral antikoagulantia</w:t>
      </w:r>
      <w:proofErr w:type="spellEnd"/>
      <w:r w:rsidRPr="4881345A">
        <w:t xml:space="preserve"/>
      </w:r>
      <w:proofErr w:type="spellStart"/>
      <w:r w:rsidRPr="4881345A">
        <w:t/>
      </w:r>
      <w:proofErr w:type="spellEnd"/>
    </w:p>
    <w:p w:rsidR="008160E0" w:rsidP="00EA3323" w:rsidRDefault="008160E0" w14:paraId="7216F54F"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75CDDE1E" w14:textId="77777777">
      <w:pPr>
        <w:rPr>
          <w:b/>
        </w:rPr>
      </w:pPr>
    </w:p>
    <w:p w:rsidR="008160E0" w:rsidP="00EA3323" w:rsidRDefault="008160E0" w14:paraId="75CF2001" w14:textId="77777777">
      <w:pPr>
        <w:rPr>
          <w:b/>
        </w:rPr>
      </w:pPr>
      <w:r>
        <w:rPr>
          <w:b/>
        </w:rPr>
        <w:t>Hitta i dokumentet</w:t>
      </w:r>
    </w:p>
    <w:p w:rsidR="008160E0" w:rsidP="00EA3323" w:rsidRDefault="008160E0" w14:paraId="29919FAC" w14:textId="77777777">
      <w:pPr>
        <w:rPr>
          <w:b/>
        </w:rPr>
        <w:sectPr w:rsidR="008160E0" w:rsidSect="000636E3">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9F0D84" w:rsidRDefault="008160E0" w14:paraId="20BB8C10" w14:textId="1EC2447B">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37812404">
        <w:r w:rsidRPr="00E5340A" w:rsidR="009F0D84">
          <w:rPr>
            <w:rStyle w:val="Hyperlnk"/>
          </w:rPr>
          <w:t>Syfte</w:t>
        </w:r>
      </w:hyperlink>
    </w:p>
    <w:p w:rsidR="009F0D84" w:rsidRDefault="00BF3020" w14:paraId="55F9137C" w14:textId="629FBAC6">
      <w:pPr>
        <w:pStyle w:val="Innehll1"/>
        <w:rPr>
          <w:rFonts w:asciiTheme="minorHAnsi" w:hAnsiTheme="minorHAnsi" w:eastAsiaTheme="minorEastAsia" w:cstheme="minorBidi"/>
          <w:color w:val="auto"/>
          <w:kern w:val="2"/>
          <w:sz w:val="22"/>
          <w:szCs w:val="22"/>
          <w:u w:val="none"/>
          <w14:ligatures w14:val="standardContextual"/>
        </w:rPr>
      </w:pPr>
      <w:hyperlink w:history="1" w:anchor="_Toc137812405">
        <w:r w:rsidRPr="00E5340A" w:rsidR="009F0D84">
          <w:rPr>
            <w:rStyle w:val="Hyperlnk"/>
          </w:rPr>
          <w:t>Bakgrund</w:t>
        </w:r>
      </w:hyperlink>
    </w:p>
    <w:p w:rsidR="009F0D84" w:rsidRDefault="00BF3020" w14:paraId="4F6D5570" w14:textId="6BEA68AA">
      <w:pPr>
        <w:pStyle w:val="Innehll1"/>
        <w:rPr>
          <w:rFonts w:asciiTheme="minorHAnsi" w:hAnsiTheme="minorHAnsi" w:eastAsiaTheme="minorEastAsia" w:cstheme="minorBidi"/>
          <w:color w:val="auto"/>
          <w:kern w:val="2"/>
          <w:sz w:val="22"/>
          <w:szCs w:val="22"/>
          <w:u w:val="none"/>
          <w14:ligatures w14:val="standardContextual"/>
        </w:rPr>
      </w:pPr>
      <w:hyperlink w:history="1" w:anchor="_Toc137812406">
        <w:r w:rsidRPr="00E5340A" w:rsidR="009F0D84">
          <w:rPr>
            <w:rStyle w:val="Hyperlnk"/>
          </w:rPr>
          <w:t>Genomförande</w:t>
        </w:r>
      </w:hyperlink>
    </w:p>
    <w:p w:rsidR="009F0D84" w:rsidRDefault="00BF3020" w14:paraId="307377EA" w14:textId="102EC988">
      <w:pPr>
        <w:pStyle w:val="Innehll1"/>
        <w:rPr>
          <w:rFonts w:asciiTheme="minorHAnsi" w:hAnsiTheme="minorHAnsi" w:eastAsiaTheme="minorEastAsia" w:cstheme="minorBidi"/>
          <w:color w:val="auto"/>
          <w:kern w:val="2"/>
          <w:sz w:val="22"/>
          <w:szCs w:val="22"/>
          <w:u w:val="none"/>
          <w14:ligatures w14:val="standardContextual"/>
        </w:rPr>
      </w:pPr>
      <w:hyperlink w:history="1" w:anchor="_Toc137812407">
        <w:r w:rsidRPr="00E5340A" w:rsidR="009F0D84">
          <w:rPr>
            <w:rStyle w:val="Hyperlnk"/>
          </w:rPr>
          <w:t>Referenser och bilagor:</w:t>
        </w:r>
      </w:hyperlink>
    </w:p>
    <w:p w:rsidR="009F0D84" w:rsidRDefault="00BF3020" w14:paraId="58CC17C2" w14:textId="156B635B">
      <w:pPr>
        <w:pStyle w:val="Innehll1"/>
        <w:rPr>
          <w:rFonts w:asciiTheme="minorHAnsi" w:hAnsiTheme="minorHAnsi" w:eastAsiaTheme="minorEastAsia" w:cstheme="minorBidi"/>
          <w:color w:val="auto"/>
          <w:kern w:val="2"/>
          <w:sz w:val="22"/>
          <w:szCs w:val="22"/>
          <w:u w:val="none"/>
          <w14:ligatures w14:val="standardContextual"/>
        </w:rPr>
      </w:pPr>
      <w:hyperlink w:history="1" w:anchor="_Toc137812408">
        <w:r w:rsidRPr="00E5340A" w:rsidR="009F0D84">
          <w:rPr>
            <w:rStyle w:val="Hyperlnk"/>
          </w:rPr>
          <w:t>Uppdaterat från föregående version</w:t>
        </w:r>
      </w:hyperlink>
    </w:p>
    <w:p w:rsidR="008160E0" w:rsidP="008160E0" w:rsidRDefault="008160E0" w14:paraId="3ED91E3A" w14:textId="28B85FD2">
      <w:pPr>
        <w:pStyle w:val="Innehll1"/>
      </w:pPr>
      <w:r>
        <w:fldChar w:fldCharType="end"/>
      </w:r>
    </w:p>
    <w:p w:rsidR="008160E0" w:rsidP="008160E0" w:rsidRDefault="008160E0" w14:paraId="2A6973E8" w14:textId="77777777">
      <w:pPr>
        <w:sectPr w:rsidR="008160E0" w:rsidSect="000636E3">
          <w:type w:val="continuous"/>
          <w:pgSz w:w="11906" w:h="16838" w:code="9"/>
          <w:pgMar w:top="1758" w:right="1418" w:bottom="1701" w:left="1418" w:header="567" w:footer="964" w:gutter="0"/>
          <w:cols w:space="720" w:num="2" w:sep="1"/>
          <w:docGrid w:linePitch="272"/>
        </w:sectPr>
      </w:pPr>
    </w:p>
    <w:p w:rsidR="00EA3323" w:rsidP="00EA3323" w:rsidRDefault="00EA3323" w14:paraId="2A906725" w14:textId="77777777">
      <w:pPr>
        <w:rPr>
          <w:b/>
        </w:rPr>
      </w:pPr>
      <w:r>
        <w:rPr>
          <w:b/>
          <w:noProof/>
        </w:rPr>
        <mc:AlternateContent>
          <mc:Choice Requires="wps">
            <w:drawing>
              <wp:anchor distT="0" distB="0" distL="114300" distR="114300" simplePos="0" relativeHeight="251658240" behindDoc="0" locked="0" layoutInCell="1" allowOverlap="1" wp14:editId="4A7D0ECD" wp14:anchorId="0DCB475A">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pt,10.45pt" to="439.65pt,10.45pt" w14:anchorId="2B687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w:pict>
          </mc:Fallback>
        </mc:AlternateContent>
      </w:r>
    </w:p>
    <w:p w:rsidRPr="00BB7AB1" w:rsidR="00B43E1D" w:rsidP="00B43E1D" w:rsidRDefault="00B43E1D" w14:paraId="7F7C7E60" w14:textId="77777777">
      <w:pPr>
        <w:pStyle w:val="Rubrik1"/>
      </w:pPr>
      <w:bookmarkStart w:name="_Toc338760454" w:id="3"/>
      <w:bookmarkStart w:name="_Toc338760518" w:id="4"/>
      <w:bookmarkStart w:name="_Toc338760584" w:id="5"/>
      <w:bookmarkStart w:name="_Toc338760600" w:id="6"/>
      <w:bookmarkStart w:name="_Toc338760609" w:id="7"/>
      <w:bookmarkStart w:name="_Toc358181225" w:id="8"/>
      <w:bookmarkStart w:name="_Toc511716115" w:id="9"/>
      <w:bookmarkStart w:name="_Toc137812404" w:id="10"/>
      <w:bookmarkEnd w:id="0"/>
      <w:bookmarkEnd w:id="1"/>
      <w:bookmarkEnd w:id="2"/>
      <w:r w:rsidRPr="00BB7AB1">
        <w:t>Syfte</w:t>
      </w:r>
      <w:bookmarkEnd w:id="3"/>
      <w:bookmarkEnd w:id="4"/>
      <w:bookmarkEnd w:id="5"/>
      <w:bookmarkEnd w:id="6"/>
      <w:bookmarkEnd w:id="7"/>
      <w:bookmarkEnd w:id="8"/>
      <w:bookmarkEnd w:id="9"/>
      <w:bookmarkEnd w:id="10"/>
    </w:p>
    <w:p w:rsidRPr="00BB7AB1" w:rsidR="00B43E1D" w:rsidP="00B43E1D" w:rsidRDefault="00B43E1D" w14:paraId="07AABF54" w14:textId="3CF62452">
      <w:r>
        <w:t xml:space="preserve">Tydliggöra antikoagulantiabehandling vid perioperativ</w:t>
      </w:r>
      <w:proofErr w:type="spellStart"/>
      <w:r w:rsidRPr="006870F5">
        <w:t/>
      </w:r>
      <w:proofErr w:type="spellEnd"/>
      <w:r w:rsidRPr="006870F5">
        <w:t xml:space="preserve"/>
      </w:r>
      <w:proofErr w:type="spellStart"/>
      <w:r w:rsidRPr="006870F5">
        <w:t/>
      </w:r>
      <w:proofErr w:type="spellEnd"/>
      <w:r>
        <w:t xml:space="preserve"> </w:t>
      </w:r>
      <w:r w:rsidRPr="006870F5">
        <w:t>vård och ansvarsfördelning mellan operatör och AK-mottagning</w:t>
      </w:r>
      <w:r>
        <w:t xml:space="preserve"/>
      </w:r>
      <w:r w:rsidRPr="006870F5">
        <w:t xml:space="preserve"> </w:t>
      </w:r>
    </w:p>
    <w:bookmarkStart w:name="_Toc511716116" w:id="11"/>
    <w:p w:rsidRPr="00AD2D02" w:rsidR="00B43E1D" w:rsidP="009F0D84" w:rsidRDefault="00B43E1D" w14:paraId="3C7AA952" w14:textId="77777777">
      <w:pPr>
        <w:rPr>
          <w:b/>
        </w:rPr>
      </w:pPr>
      <w:r>
        <w:rPr>
          <w:b/>
        </w:rPr>
        <w:fldChar w:fldCharType="begin"/>
      </w:r>
      <w:r>
        <w:instrText xml:space="preserve"> HYPERLINK "https://rh.sharepoint.com/:w:/r/sites/Kvalitet/_layouts/15/WopiFrame.aspx?sourcedoc=%7bbcfb65b7-7c34-42f4-b67f-e24f0032b630%7d" </w:instrText>
      </w:r>
      <w:r>
        <w:rPr>
          <w:b/>
        </w:rPr>
      </w:r>
      <w:r>
        <w:rPr>
          <w:b/>
        </w:rPr>
        <w:fldChar w:fldCharType="separate"/>
      </w:r>
      <w:r w:rsidRPr="00AD2D02">
        <w:rPr>
          <w:rStyle w:val="Hyperlnk"/>
          <w:bCs/>
          <w:sz w:val="27"/>
          <w:szCs w:val="27"/>
        </w:rPr>
        <w:t>Rutin: Peroral antikoagulation i Region Halland</w:t>
      </w:r>
      <w:bookmarkEnd w:id="11"/>
      <w:r>
        <w:rPr>
          <w:b/>
        </w:rPr>
        <w:fldChar w:fldCharType="end"/>
      </w:r>
    </w:p>
    <w:p w:rsidRPr="00BB7AB1" w:rsidR="00B43E1D" w:rsidP="00B43E1D" w:rsidRDefault="00B43E1D" w14:paraId="48BE8448" w14:textId="77777777"/>
    <w:p w:rsidRPr="00BB7AB1" w:rsidR="00B43E1D" w:rsidP="00B43E1D" w:rsidRDefault="00B43E1D" w14:paraId="4FE5A1A9" w14:textId="77777777">
      <w:pPr>
        <w:pStyle w:val="Rubrik1"/>
        <w:rPr>
          <w:color w:val="FF0000"/>
        </w:rPr>
      </w:pPr>
      <w:bookmarkStart w:name="_Toc511716117" w:id="12"/>
      <w:bookmarkStart w:name="_Toc137812405" w:id="13"/>
      <w:r w:rsidRPr="00BB7AB1">
        <w:t>Bakgrund</w:t>
      </w:r>
      <w:bookmarkEnd w:id="12"/>
      <w:bookmarkEnd w:id="13"/>
      <w:r w:rsidRPr="00BB7AB1">
        <w:t xml:space="preserve"> </w:t>
      </w:r>
    </w:p>
    <w:p w:rsidRPr="00F41AB5" w:rsidR="00B43E1D" w:rsidP="00B43E1D" w:rsidRDefault="00B43E1D" w14:paraId="3777B2A0" w14:textId="77777777">
      <w:r>
        <w:t xml:space="preserve">Inför tillfällig utsättning av antikoagulantia skall nyttan med ingreppet vägas mot risken att göra uppehåll med antikoagulantia. Elektiv kirurgi bör om möjligt undvikas vid nyligen genomgången venös tromboembolism (inom 3 månader) eller genomgången PCI (inom 6 månader). Där kirurgi inte kan undvikas, exempelvis kirurgi vid malignitet konsulteras hematologkonsult eller kardiologkonsult. Antikoagulantia sätts in så snart som möjligt postoperativt enligt nedan. Där kontraindikationer för återinsättning finns vägs risker för trombos mot risken för blödning. Vid behov konsulteras kardiolog eller hematologkonsult/jour. </w:t>
      </w:r>
      <w:proofErr w:type="spellStart"/>
      <w:r>
        <w:t/>
      </w:r>
      <w:proofErr w:type="spellEnd"/>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
    <w:p w:rsidRPr="00BB7AB1" w:rsidR="00B43E1D" w:rsidP="00B43E1D" w:rsidRDefault="00B43E1D" w14:paraId="060C82FD" w14:textId="77777777"/>
    <w:p w:rsidRPr="00BB7AB1" w:rsidR="00B43E1D" w:rsidP="00B43E1D" w:rsidRDefault="00B43E1D" w14:paraId="2909D5BD" w14:textId="77777777">
      <w:pPr>
        <w:pStyle w:val="Rubrik1"/>
        <w:rPr>
          <w:color w:val="000000" w:themeColor="text1"/>
        </w:rPr>
      </w:pPr>
      <w:bookmarkStart w:name="_Toc511716118" w:id="14"/>
      <w:bookmarkStart w:name="_Toc137812406" w:id="15"/>
      <w:r w:rsidRPr="00BB7AB1">
        <w:rPr>
          <w:color w:val="000000" w:themeColor="text1"/>
        </w:rPr>
        <w:t>Genomförande</w:t>
      </w:r>
      <w:bookmarkEnd w:id="14"/>
      <w:bookmarkEnd w:id="15"/>
      <w:r w:rsidRPr="00BB7AB1">
        <w:rPr>
          <w:color w:val="000000" w:themeColor="text1"/>
        </w:rPr>
        <w:t xml:space="preserve"> </w:t>
      </w:r>
    </w:p>
    <w:p w:rsidRPr="00AF74FD" w:rsidR="00B43E1D" w:rsidP="00B43E1D" w:rsidRDefault="00B43E1D" w14:paraId="7959857B" w14:textId="77777777">
      <w:pPr>
        <w:pStyle w:val="Rubrik2"/>
        <w:rPr>
          <w:b w:val="0"/>
          <w:bCs/>
        </w:rPr>
      </w:pPr>
      <w:proofErr w:type="spellStart"/>
      <w:r w:rsidRPr="00AF74FD">
        <w:rPr>
          <w:bCs/>
        </w:rPr>
        <w:t>Perioperativ hantering av warfarin</w:t>
      </w:r>
      <w:proofErr w:type="spellEnd"/>
      <w:r w:rsidRPr="00AF74FD">
        <w:rPr>
          <w:bCs/>
        </w:rPr>
        <w:t xml:space="preserve"/>
      </w:r>
      <w:proofErr w:type="spellStart"/>
      <w:r w:rsidRPr="00AF74FD">
        <w:rPr>
          <w:bCs/>
        </w:rPr>
        <w:t/>
      </w:r>
      <w:proofErr w:type="spellEnd"/>
      <w:r w:rsidRPr="00AF74FD">
        <w:rPr>
          <w:bCs/>
        </w:rPr>
        <w:t xml:space="preserve"> </w:t>
      </w:r>
    </w:p>
    <w:p w:rsidR="00B43E1D" w:rsidP="00B43E1D" w:rsidRDefault="00B43E1D" w14:paraId="7A62A702" w14:textId="77777777">
      <w:r>
        <w:t xml:space="preserve">Inför operation sätts vanligen warfarin ut 3-5 dagar innan operation. Vid veckodos under 10 tabletter sätts warfarin ut 5 dagar. Annars 3 dagar. Till särskilda högriskpatienter (se beskrivning nedan) ges överbryggande behandling med lågmolekylärt heparin (LMH). Efter operation ges vanligen dubbel dos warfarin operationsdagens kväll och dagen efter enligt nedanstående tabell.</w:t>
      </w:r>
      <w:proofErr w:type="spellStart"/>
      <w:r>
        <w:t/>
      </w:r>
      <w:proofErr w:type="spellEnd"/>
      <w:r>
        <w:t xml:space="preserve"/>
      </w:r>
      <w:proofErr w:type="spellStart"/>
      <w:r>
        <w:t/>
      </w:r>
      <w:proofErr w:type="spellEnd"/>
      <w:r>
        <w:t xml:space="preserve"/>
      </w:r>
      <w:proofErr w:type="spellStart"/>
      <w:r>
        <w:t/>
      </w:r>
      <w:proofErr w:type="spellEnd"/>
      <w:r>
        <w:t xml:space="preserve"/>
      </w:r>
    </w:p>
    <w:p w:rsidR="00B43E1D" w:rsidP="00B43E1D" w:rsidRDefault="00B43E1D" w14:paraId="35ADE426" w14:textId="77777777">
      <w:pPr>
        <w:rPr>
          <w:color w:val="000000" w:themeColor="text1"/>
        </w:rPr>
      </w:pPr>
    </w:p>
    <w:tbl>
      <w:tblPr>
        <w:tblStyle w:val="Tabellrutnt"/>
        <w:tblW w:w="8640" w:type="dxa"/>
        <w:tblCellMar>
          <w:left w:w="0" w:type="dxa"/>
          <w:right w:w="0" w:type="dxa"/>
        </w:tblCellMar>
        <w:tblLook w:val="04A0" w:firstRow="1" w:lastRow="0" w:firstColumn="1" w:lastColumn="0" w:noHBand="0" w:noVBand="1"/>
      </w:tblPr>
      <w:tblGrid>
        <w:gridCol w:w="1320"/>
        <w:gridCol w:w="600"/>
        <w:gridCol w:w="1125"/>
        <w:gridCol w:w="1140"/>
        <w:gridCol w:w="1410"/>
        <w:gridCol w:w="1395"/>
        <w:gridCol w:w="1650"/>
      </w:tblGrid>
      <w:tr w:rsidRPr="002616FF" w:rsidR="00B43E1D" w:rsidTr="00735B51" w14:paraId="5502B7C2" w14:textId="77777777">
        <w:trPr>
          <w:trHeight w:val="390"/>
        </w:trPr>
        <w:tc>
          <w:tcPr>
            <w:tcW w:w="8640" w:type="dxa"/>
            <w:gridSpan w:val="7"/>
            <w:vAlign w:val="bottom"/>
            <w:hideMark/>
          </w:tcPr>
          <w:p w:rsidRPr="002616FF" w:rsidR="00B43E1D" w:rsidP="00735B51" w:rsidRDefault="00B43E1D" w14:paraId="6B165959" w14:textId="77777777">
            <w:pPr>
              <w:textAlignment w:val="baseline"/>
              <w:rPr>
                <w:rFonts w:ascii="Calibri" w:hAnsi="Calibri" w:cs="Calibri"/>
              </w:rPr>
            </w:pPr>
            <w:r w:rsidRPr="002616FF">
              <w:rPr>
                <w:rFonts w:ascii="Calibri" w:hAnsi="Calibri" w:cs="Calibri"/>
                <w:b/>
                <w:bCs/>
              </w:rPr>
              <w:t xml:space="preserve">Behandlingsschema inför operation av warfarinbehandlad patient.</w:t>
            </w:r>
            <w:proofErr w:type="spellStart"/>
            <w:r w:rsidRPr="002616FF">
              <w:rPr>
                <w:rFonts w:ascii="Calibri" w:hAnsi="Calibri" w:cs="Calibri"/>
                <w:b/>
                <w:bCs/>
              </w:rPr>
              <w:t/>
            </w:r>
            <w:proofErr w:type="spellEnd"/>
            <w:r w:rsidRPr="002616FF">
              <w:rPr>
                <w:rFonts w:ascii="Calibri" w:hAnsi="Calibri" w:cs="Calibri"/>
                <w:b/>
                <w:bCs/>
              </w:rPr>
              <w:t xml:space="preserve"/>
            </w:r>
            <w:r w:rsidRPr="002616FF">
              <w:rPr>
                <w:rFonts w:ascii="Calibri" w:hAnsi="Calibri" w:cs="Calibri"/>
              </w:rPr>
              <w:t> </w:t>
            </w:r>
          </w:p>
          <w:p w:rsidRPr="002616FF" w:rsidR="00B43E1D" w:rsidP="00735B51" w:rsidRDefault="00B43E1D" w14:paraId="536E997A" w14:textId="77777777">
            <w:pPr>
              <w:textAlignment w:val="baseline"/>
              <w:rPr>
                <w:rFonts w:ascii="Segoe UI" w:hAnsi="Segoe UI" w:cs="Segoe UI"/>
              </w:rPr>
            </w:pPr>
            <w:r w:rsidRPr="1E6D63E4">
              <w:rPr>
                <w:rFonts w:ascii="Calibri" w:hAnsi="Calibri" w:cs="Calibri"/>
              </w:rPr>
              <w:t xml:space="preserve">LMH ges endast Till patienter med hög tromboembolisk risk (patient med mekaniska hjärtklaffar, patient med trombos/emboli inom de tre senaste månaderna före operation eller patient med antifosfolipidsyndrom). För patienter med vikt 40–65</w:t>
            </w:r>
            <w:proofErr w:type="spellStart"/>
            <w:r w:rsidRPr="1E6D63E4">
              <w:rPr>
                <w:rFonts w:ascii="Calibri" w:hAnsi="Calibri" w:cs="Calibri"/>
              </w:rPr>
              <w:t/>
            </w:r>
            <w:proofErr w:type="spellEnd"/>
            <w:r w:rsidRPr="1E6D63E4">
              <w:rPr>
                <w:rFonts w:ascii="Calibri" w:hAnsi="Calibri" w:cs="Calibri"/>
              </w:rPr>
              <w:t xml:space="preserve"/>
            </w:r>
            <w:proofErr w:type="spellStart"/>
            <w:r w:rsidRPr="1E6D63E4">
              <w:rPr>
                <w:rFonts w:ascii="Calibri" w:hAnsi="Calibri" w:cs="Calibri"/>
              </w:rPr>
              <w:t/>
            </w:r>
            <w:proofErr w:type="spellEnd"/>
            <w:r w:rsidRPr="1E6D63E4">
              <w:rPr>
                <w:rFonts w:ascii="Calibri" w:hAnsi="Calibri" w:cs="Calibri"/>
              </w:rPr>
              <w:t/>
            </w:r>
            <w:r>
              <w:rPr>
                <w:rFonts w:ascii="Calibri" w:hAnsi="Calibri" w:cs="Calibri"/>
              </w:rPr>
              <w:t xml:space="preserve"> </w:t>
            </w:r>
            <w:r w:rsidRPr="1E6D63E4">
              <w:rPr>
                <w:rFonts w:ascii="Calibri" w:hAnsi="Calibri" w:cs="Calibri"/>
              </w:rPr>
              <w:t>kg ges halva dosen LMH.</w:t>
            </w:r>
            <w:r w:rsidRPr="1E6D63E4">
              <w:rPr>
                <w:rFonts w:ascii="Segoe UI" w:hAnsi="Segoe UI" w:cs="Segoe UI"/>
              </w:rPr>
              <w:t> </w:t>
            </w:r>
          </w:p>
        </w:tc>
      </w:tr>
      <w:tr w:rsidRPr="002616FF" w:rsidR="00B43E1D" w:rsidTr="00735B51" w14:paraId="3971B937" w14:textId="77777777">
        <w:trPr>
          <w:trHeight w:val="390"/>
        </w:trPr>
        <w:tc>
          <w:tcPr>
            <w:tcW w:w="1320" w:type="dxa"/>
            <w:vAlign w:val="bottom"/>
            <w:hideMark/>
          </w:tcPr>
          <w:p w:rsidRPr="00BF52A4" w:rsidR="00B43E1D" w:rsidP="00735B51" w:rsidRDefault="00B43E1D" w14:paraId="64507088" w14:textId="77777777">
            <w:pPr>
              <w:textAlignment w:val="baseline"/>
              <w:rPr>
                <w:rFonts w:cstheme="minorHAnsi"/>
                <w:sz w:val="18"/>
                <w:szCs w:val="18"/>
              </w:rPr>
            </w:pPr>
            <w:r w:rsidRPr="00BF52A4">
              <w:rPr>
                <w:rFonts w:cstheme="minorHAnsi"/>
                <w:szCs w:val="24"/>
              </w:rPr>
              <w:t> </w:t>
            </w:r>
          </w:p>
        </w:tc>
        <w:tc>
          <w:tcPr>
            <w:tcW w:w="2865" w:type="dxa"/>
            <w:gridSpan w:val="3"/>
            <w:vAlign w:val="bottom"/>
            <w:hideMark/>
          </w:tcPr>
          <w:p w:rsidRPr="00BF52A4" w:rsidR="00B43E1D" w:rsidP="00735B51" w:rsidRDefault="00B43E1D" w14:paraId="7CF9F030" w14:textId="77777777">
            <w:pPr>
              <w:jc w:val="center"/>
              <w:textAlignment w:val="baseline"/>
              <w:rPr>
                <w:rFonts w:cstheme="minorHAnsi"/>
                <w:sz w:val="18"/>
                <w:szCs w:val="18"/>
              </w:rPr>
            </w:pPr>
            <w:r w:rsidRPr="00BF52A4">
              <w:rPr>
                <w:rFonts w:cstheme="minorHAnsi"/>
                <w:b/>
                <w:bCs/>
                <w:szCs w:val="24"/>
              </w:rPr>
              <w:t>Preoperativt</w:t>
            </w:r>
            <w:r w:rsidRPr="00BF52A4">
              <w:rPr>
                <w:rFonts w:cstheme="minorHAnsi"/>
                <w:szCs w:val="24"/>
              </w:rPr>
              <w:t> </w:t>
            </w:r>
          </w:p>
        </w:tc>
        <w:tc>
          <w:tcPr>
            <w:tcW w:w="2805" w:type="dxa"/>
            <w:gridSpan w:val="2"/>
            <w:vAlign w:val="bottom"/>
            <w:hideMark/>
          </w:tcPr>
          <w:p w:rsidRPr="00BF52A4" w:rsidR="00B43E1D" w:rsidP="00735B51" w:rsidRDefault="00B43E1D" w14:paraId="1B805907" w14:textId="77777777">
            <w:pPr>
              <w:jc w:val="center"/>
              <w:textAlignment w:val="baseline"/>
              <w:rPr>
                <w:rFonts w:cstheme="minorHAnsi"/>
                <w:sz w:val="18"/>
                <w:szCs w:val="18"/>
              </w:rPr>
            </w:pPr>
            <w:r w:rsidRPr="00BF52A4">
              <w:rPr>
                <w:rFonts w:cstheme="minorHAnsi"/>
                <w:b/>
                <w:bCs/>
                <w:szCs w:val="24"/>
              </w:rPr>
              <w:t>Operationsdag</w:t>
            </w:r>
            <w:r w:rsidRPr="00BF52A4">
              <w:rPr>
                <w:rFonts w:cstheme="minorHAnsi"/>
                <w:szCs w:val="24"/>
              </w:rPr>
              <w:t> </w:t>
            </w:r>
          </w:p>
        </w:tc>
        <w:tc>
          <w:tcPr>
            <w:tcW w:w="1650" w:type="dxa"/>
            <w:vAlign w:val="bottom"/>
            <w:hideMark/>
          </w:tcPr>
          <w:p w:rsidRPr="00BF52A4" w:rsidR="00B43E1D" w:rsidP="00735B51" w:rsidRDefault="00B43E1D" w14:paraId="25E41120" w14:textId="77777777">
            <w:pPr>
              <w:jc w:val="center"/>
              <w:textAlignment w:val="baseline"/>
              <w:rPr>
                <w:rFonts w:cstheme="minorHAnsi"/>
                <w:sz w:val="18"/>
                <w:szCs w:val="18"/>
              </w:rPr>
            </w:pPr>
            <w:r w:rsidRPr="00BF52A4">
              <w:rPr>
                <w:rFonts w:cstheme="minorHAnsi"/>
                <w:b/>
                <w:bCs/>
                <w:szCs w:val="24"/>
              </w:rPr>
              <w:t>Postoperativt</w:t>
            </w:r>
            <w:r w:rsidRPr="00BF52A4">
              <w:rPr>
                <w:rFonts w:cstheme="minorHAnsi"/>
                <w:szCs w:val="24"/>
              </w:rPr>
              <w:t> </w:t>
            </w:r>
          </w:p>
        </w:tc>
      </w:tr>
      <w:tr w:rsidRPr="002616FF" w:rsidR="00B43E1D" w:rsidTr="00735B51" w14:paraId="1A490766" w14:textId="77777777">
        <w:trPr>
          <w:trHeight w:val="390"/>
        </w:trPr>
        <w:tc>
          <w:tcPr>
            <w:tcW w:w="1320" w:type="dxa"/>
            <w:vAlign w:val="bottom"/>
            <w:hideMark/>
          </w:tcPr>
          <w:p w:rsidRPr="00BF52A4" w:rsidR="00B43E1D" w:rsidP="00735B51" w:rsidRDefault="00B43E1D" w14:paraId="5ADB3C7C" w14:textId="77777777">
            <w:pPr>
              <w:textAlignment w:val="baseline"/>
              <w:rPr>
                <w:rFonts w:cstheme="minorHAnsi"/>
                <w:sz w:val="18"/>
                <w:szCs w:val="18"/>
              </w:rPr>
            </w:pPr>
            <w:r w:rsidRPr="00BF52A4">
              <w:rPr>
                <w:rFonts w:cstheme="minorHAnsi"/>
                <w:b/>
                <w:bCs/>
                <w:szCs w:val="24"/>
              </w:rPr>
              <w:t>Dag</w:t>
            </w:r>
            <w:r w:rsidRPr="00BF52A4">
              <w:rPr>
                <w:rFonts w:cstheme="minorHAnsi"/>
                <w:szCs w:val="24"/>
              </w:rPr>
              <w:t> </w:t>
            </w:r>
          </w:p>
        </w:tc>
        <w:tc>
          <w:tcPr>
            <w:tcW w:w="600" w:type="dxa"/>
            <w:vAlign w:val="bottom"/>
            <w:hideMark/>
          </w:tcPr>
          <w:p w:rsidRPr="00BF52A4" w:rsidR="00B43E1D" w:rsidP="00735B51" w:rsidRDefault="00B43E1D" w14:paraId="27AC4228" w14:textId="77777777">
            <w:pPr>
              <w:jc w:val="center"/>
              <w:textAlignment w:val="baseline"/>
              <w:rPr>
                <w:rFonts w:cstheme="minorHAnsi"/>
                <w:sz w:val="18"/>
                <w:szCs w:val="18"/>
              </w:rPr>
            </w:pPr>
            <w:r w:rsidRPr="00BF52A4">
              <w:rPr>
                <w:rFonts w:cstheme="minorHAnsi"/>
                <w:b/>
                <w:bCs/>
                <w:szCs w:val="24"/>
              </w:rPr>
              <w:t>-5/-3</w:t>
            </w:r>
            <w:r w:rsidRPr="00BF52A4">
              <w:rPr>
                <w:rFonts w:cstheme="minorHAnsi"/>
                <w:szCs w:val="24"/>
              </w:rPr>
              <w:t> </w:t>
            </w:r>
          </w:p>
        </w:tc>
        <w:tc>
          <w:tcPr>
            <w:tcW w:w="1125" w:type="dxa"/>
            <w:vAlign w:val="bottom"/>
            <w:hideMark/>
          </w:tcPr>
          <w:p w:rsidRPr="00BF52A4" w:rsidR="00B43E1D" w:rsidP="00735B51" w:rsidRDefault="00B43E1D" w14:paraId="1672BB98" w14:textId="77777777">
            <w:pPr>
              <w:jc w:val="center"/>
              <w:textAlignment w:val="baseline"/>
              <w:rPr>
                <w:rFonts w:cstheme="minorHAnsi"/>
                <w:sz w:val="18"/>
                <w:szCs w:val="18"/>
              </w:rPr>
            </w:pPr>
            <w:r w:rsidRPr="00BF52A4">
              <w:rPr>
                <w:rFonts w:cstheme="minorHAnsi"/>
                <w:b/>
                <w:bCs/>
                <w:szCs w:val="24"/>
              </w:rPr>
              <w:t>-2</w:t>
            </w:r>
            <w:r w:rsidRPr="00BF52A4">
              <w:rPr>
                <w:rFonts w:cstheme="minorHAnsi"/>
                <w:szCs w:val="24"/>
              </w:rPr>
              <w:t> </w:t>
            </w:r>
          </w:p>
        </w:tc>
        <w:tc>
          <w:tcPr>
            <w:tcW w:w="1140" w:type="dxa"/>
            <w:vAlign w:val="bottom"/>
            <w:hideMark/>
          </w:tcPr>
          <w:p w:rsidRPr="00BF52A4" w:rsidR="00B43E1D" w:rsidP="00735B51" w:rsidRDefault="00B43E1D" w14:paraId="4A937F80" w14:textId="77777777">
            <w:pPr>
              <w:jc w:val="center"/>
              <w:textAlignment w:val="baseline"/>
              <w:rPr>
                <w:rFonts w:cstheme="minorHAnsi"/>
                <w:sz w:val="18"/>
                <w:szCs w:val="18"/>
              </w:rPr>
            </w:pPr>
            <w:r w:rsidRPr="00BF52A4">
              <w:rPr>
                <w:rFonts w:cstheme="minorHAnsi"/>
                <w:b/>
                <w:bCs/>
                <w:szCs w:val="24"/>
              </w:rPr>
              <w:t>-1</w:t>
            </w:r>
            <w:r w:rsidRPr="00BF52A4">
              <w:rPr>
                <w:rFonts w:cstheme="minorHAnsi"/>
                <w:szCs w:val="24"/>
              </w:rPr>
              <w:t> </w:t>
            </w:r>
          </w:p>
        </w:tc>
        <w:tc>
          <w:tcPr>
            <w:tcW w:w="1410" w:type="dxa"/>
            <w:vAlign w:val="bottom"/>
            <w:hideMark/>
          </w:tcPr>
          <w:p w:rsidRPr="00BF52A4" w:rsidR="00B43E1D" w:rsidP="00735B51" w:rsidRDefault="00B43E1D" w14:paraId="178F1DB4" w14:textId="77777777">
            <w:pPr>
              <w:jc w:val="center"/>
              <w:textAlignment w:val="baseline"/>
              <w:rPr>
                <w:rFonts w:cstheme="minorHAnsi"/>
                <w:sz w:val="18"/>
                <w:szCs w:val="18"/>
              </w:rPr>
            </w:pPr>
            <w:r w:rsidRPr="00BF52A4">
              <w:rPr>
                <w:rFonts w:cstheme="minorHAnsi"/>
                <w:b/>
                <w:bCs/>
                <w:szCs w:val="24"/>
              </w:rPr>
              <w:t>0</w:t>
            </w:r>
            <w:r w:rsidRPr="00BF52A4">
              <w:rPr>
                <w:rFonts w:cstheme="minorHAnsi"/>
                <w:szCs w:val="24"/>
              </w:rPr>
              <w:t> </w:t>
            </w:r>
          </w:p>
        </w:tc>
        <w:tc>
          <w:tcPr>
            <w:tcW w:w="1395" w:type="dxa"/>
            <w:vAlign w:val="bottom"/>
            <w:hideMark/>
          </w:tcPr>
          <w:p w:rsidRPr="00BF52A4" w:rsidR="00B43E1D" w:rsidP="00735B51" w:rsidRDefault="00B43E1D" w14:paraId="687351D0" w14:textId="77777777">
            <w:pPr>
              <w:jc w:val="center"/>
              <w:textAlignment w:val="baseline"/>
              <w:rPr>
                <w:rFonts w:cstheme="minorHAnsi"/>
                <w:sz w:val="18"/>
                <w:szCs w:val="18"/>
              </w:rPr>
            </w:pPr>
            <w:r w:rsidRPr="00BF52A4">
              <w:rPr>
                <w:rFonts w:cstheme="minorHAnsi"/>
                <w:b/>
                <w:bCs/>
                <w:szCs w:val="24"/>
              </w:rPr>
              <w:t>1</w:t>
            </w:r>
            <w:r w:rsidRPr="00BF52A4">
              <w:rPr>
                <w:rFonts w:cstheme="minorHAnsi"/>
                <w:szCs w:val="24"/>
              </w:rPr>
              <w:t> </w:t>
            </w:r>
          </w:p>
        </w:tc>
        <w:tc>
          <w:tcPr>
            <w:tcW w:w="1650" w:type="dxa"/>
            <w:vAlign w:val="bottom"/>
            <w:hideMark/>
          </w:tcPr>
          <w:p w:rsidRPr="00BF52A4" w:rsidR="00B43E1D" w:rsidP="00735B51" w:rsidRDefault="00B43E1D" w14:paraId="2B168715" w14:textId="77777777">
            <w:pPr>
              <w:jc w:val="center"/>
              <w:textAlignment w:val="baseline"/>
              <w:rPr>
                <w:rFonts w:cstheme="minorHAnsi"/>
                <w:sz w:val="18"/>
                <w:szCs w:val="18"/>
              </w:rPr>
            </w:pPr>
            <w:r w:rsidRPr="00BF52A4">
              <w:rPr>
                <w:rFonts w:cstheme="minorHAnsi"/>
                <w:b/>
                <w:bCs/>
                <w:szCs w:val="24"/>
              </w:rPr>
              <w:t>2–5</w:t>
            </w:r>
            <w:r w:rsidRPr="00BF52A4">
              <w:rPr>
                <w:rFonts w:cstheme="minorHAnsi"/>
                <w:szCs w:val="24"/>
              </w:rPr>
              <w:t> </w:t>
            </w:r>
          </w:p>
        </w:tc>
      </w:tr>
      <w:tr w:rsidRPr="002616FF" w:rsidR="00B43E1D" w:rsidTr="00735B51" w14:paraId="5BA6CC41" w14:textId="77777777">
        <w:trPr>
          <w:trHeight w:val="390"/>
        </w:trPr>
        <w:tc>
          <w:tcPr>
            <w:tcW w:w="1320" w:type="dxa"/>
            <w:vAlign w:val="bottom"/>
            <w:hideMark/>
          </w:tcPr>
          <w:p w:rsidRPr="00BF52A4" w:rsidR="00B43E1D" w:rsidP="00735B51" w:rsidRDefault="00B43E1D" w14:paraId="7EAD9490" w14:textId="77777777">
            <w:pPr>
              <w:textAlignment w:val="baseline"/>
              <w:rPr>
                <w:rFonts w:cstheme="minorHAnsi"/>
                <w:sz w:val="18"/>
                <w:szCs w:val="18"/>
              </w:rPr>
            </w:pPr>
            <w:r w:rsidRPr="00BF52A4">
              <w:rPr>
                <w:rFonts w:cstheme="minorHAnsi"/>
                <w:b/>
                <w:bCs/>
                <w:szCs w:val="24"/>
              </w:rPr>
              <w:t>Åtgärd</w:t>
            </w:r>
            <w:r w:rsidRPr="00BF52A4">
              <w:rPr>
                <w:rFonts w:cstheme="minorHAnsi"/>
                <w:szCs w:val="24"/>
              </w:rPr>
              <w:t> </w:t>
            </w:r>
          </w:p>
        </w:tc>
        <w:tc>
          <w:tcPr>
            <w:tcW w:w="600" w:type="dxa"/>
            <w:vAlign w:val="bottom"/>
            <w:hideMark/>
          </w:tcPr>
          <w:p w:rsidRPr="00BF52A4" w:rsidR="00B43E1D" w:rsidP="00735B51" w:rsidRDefault="00B43E1D" w14:paraId="64296793" w14:textId="77777777">
            <w:pPr>
              <w:textAlignment w:val="baseline"/>
              <w:rPr>
                <w:rFonts w:cstheme="minorHAnsi"/>
                <w:sz w:val="18"/>
                <w:szCs w:val="18"/>
              </w:rPr>
            </w:pPr>
            <w:r w:rsidRPr="00BF52A4">
              <w:rPr>
                <w:rFonts w:cstheme="minorHAnsi"/>
                <w:szCs w:val="24"/>
              </w:rPr>
              <w:t> </w:t>
            </w:r>
          </w:p>
        </w:tc>
        <w:tc>
          <w:tcPr>
            <w:tcW w:w="1125" w:type="dxa"/>
            <w:vAlign w:val="bottom"/>
            <w:hideMark/>
          </w:tcPr>
          <w:p w:rsidRPr="00BF52A4" w:rsidR="00B43E1D" w:rsidP="00735B51" w:rsidRDefault="00B43E1D" w14:paraId="237757A2" w14:textId="77777777">
            <w:pPr>
              <w:textAlignment w:val="baseline"/>
              <w:rPr>
                <w:rFonts w:cstheme="minorHAnsi"/>
                <w:sz w:val="18"/>
                <w:szCs w:val="18"/>
              </w:rPr>
            </w:pPr>
            <w:r w:rsidRPr="00BF52A4">
              <w:rPr>
                <w:rFonts w:cstheme="minorHAnsi"/>
                <w:sz w:val="20"/>
                <w:szCs w:val="20"/>
              </w:rPr>
              <w:t> </w:t>
            </w:r>
          </w:p>
        </w:tc>
        <w:tc>
          <w:tcPr>
            <w:tcW w:w="1140" w:type="dxa"/>
            <w:vAlign w:val="bottom"/>
            <w:hideMark/>
          </w:tcPr>
          <w:p w:rsidRPr="00BF52A4" w:rsidR="00B43E1D" w:rsidP="00735B51" w:rsidRDefault="00B43E1D" w14:paraId="3469A48A" w14:textId="77777777">
            <w:pPr>
              <w:textAlignment w:val="baseline"/>
              <w:rPr>
                <w:rFonts w:cstheme="minorHAnsi"/>
                <w:sz w:val="18"/>
                <w:szCs w:val="18"/>
              </w:rPr>
            </w:pPr>
            <w:r w:rsidRPr="00BF52A4">
              <w:rPr>
                <w:rFonts w:cstheme="minorHAnsi"/>
                <w:sz w:val="20"/>
                <w:szCs w:val="20"/>
              </w:rPr>
              <w:t> </w:t>
            </w:r>
          </w:p>
        </w:tc>
        <w:tc>
          <w:tcPr>
            <w:tcW w:w="1410" w:type="dxa"/>
            <w:vAlign w:val="bottom"/>
            <w:hideMark/>
          </w:tcPr>
          <w:p w:rsidRPr="00BF52A4" w:rsidR="00B43E1D" w:rsidP="00735B51" w:rsidRDefault="00B43E1D" w14:paraId="53DA0EEF" w14:textId="77777777">
            <w:pPr>
              <w:jc w:val="center"/>
              <w:textAlignment w:val="baseline"/>
              <w:rPr>
                <w:rFonts w:cstheme="minorHAnsi"/>
                <w:sz w:val="18"/>
                <w:szCs w:val="18"/>
              </w:rPr>
            </w:pPr>
            <w:r w:rsidRPr="00BF52A4">
              <w:rPr>
                <w:rFonts w:cstheme="minorHAnsi"/>
                <w:szCs w:val="24"/>
              </w:rPr>
              <w:t>Operation om PK (INR) &lt;1,5 </w:t>
            </w:r>
          </w:p>
        </w:tc>
        <w:tc>
          <w:tcPr>
            <w:tcW w:w="1395" w:type="dxa"/>
            <w:vAlign w:val="bottom"/>
            <w:hideMark/>
          </w:tcPr>
          <w:p w:rsidRPr="00BF52A4" w:rsidR="00B43E1D" w:rsidP="00735B51" w:rsidRDefault="00B43E1D" w14:paraId="6F7BC7A1" w14:textId="77777777">
            <w:pPr>
              <w:jc w:val="center"/>
              <w:textAlignment w:val="baseline"/>
              <w:rPr>
                <w:rFonts w:cstheme="minorHAnsi"/>
                <w:sz w:val="18"/>
                <w:szCs w:val="18"/>
              </w:rPr>
            </w:pPr>
            <w:r w:rsidRPr="00BF52A4">
              <w:rPr>
                <w:rFonts w:cstheme="minorHAnsi"/>
                <w:szCs w:val="24"/>
              </w:rPr>
              <w:t>PK (INR)-kontroll </w:t>
            </w:r>
          </w:p>
        </w:tc>
        <w:tc>
          <w:tcPr>
            <w:tcW w:w="1650" w:type="dxa"/>
            <w:vAlign w:val="bottom"/>
            <w:hideMark/>
          </w:tcPr>
          <w:p w:rsidRPr="00BF52A4" w:rsidR="00B43E1D" w:rsidP="00735B51" w:rsidRDefault="00B43E1D" w14:paraId="7AA65F66" w14:textId="77777777">
            <w:pPr>
              <w:textAlignment w:val="baseline"/>
              <w:rPr>
                <w:rFonts w:cstheme="minorHAnsi"/>
                <w:sz w:val="18"/>
                <w:szCs w:val="18"/>
              </w:rPr>
            </w:pPr>
            <w:r w:rsidRPr="00BF52A4">
              <w:rPr>
                <w:rFonts w:cstheme="minorHAnsi"/>
                <w:szCs w:val="24"/>
              </w:rPr>
              <w:t>PK (INR)-kontroll </w:t>
            </w:r>
          </w:p>
        </w:tc>
      </w:tr>
      <w:tr w:rsidRPr="002616FF" w:rsidR="00B43E1D" w:rsidTr="00735B51" w14:paraId="089100C0" w14:textId="77777777">
        <w:trPr>
          <w:trHeight w:val="390"/>
        </w:trPr>
        <w:tc>
          <w:tcPr>
            <w:tcW w:w="1320" w:type="dxa"/>
            <w:vAlign w:val="bottom"/>
            <w:hideMark/>
          </w:tcPr>
          <w:p w:rsidRPr="00BF52A4" w:rsidR="00B43E1D" w:rsidP="00735B51" w:rsidRDefault="00B43E1D" w14:paraId="28F6D1BA" w14:textId="77777777">
            <w:pPr>
              <w:textAlignment w:val="baseline"/>
              <w:rPr>
                <w:rFonts w:cstheme="minorHAnsi"/>
                <w:sz w:val="18"/>
                <w:szCs w:val="18"/>
              </w:rPr>
            </w:pPr>
            <w:proofErr w:type="spellStart"/>
            <w:r w:rsidRPr="00BF52A4">
              <w:rPr>
                <w:rFonts w:cstheme="minorHAnsi"/>
                <w:b/>
                <w:bCs/>
                <w:szCs w:val="24"/>
              </w:rPr>
              <w:t>Warfarin-dosering</w:t>
            </w:r>
            <w:proofErr w:type="spellEnd"/>
            <w:r w:rsidRPr="00BF52A4">
              <w:rPr>
                <w:rFonts w:cstheme="minorHAnsi"/>
                <w:b/>
                <w:bCs/>
                <w:szCs w:val="24"/>
              </w:rPr>
              <w:t/>
            </w:r>
            <w:r w:rsidRPr="00BF52A4">
              <w:rPr>
                <w:rFonts w:cstheme="minorHAnsi"/>
                <w:szCs w:val="24"/>
              </w:rPr>
              <w:t> </w:t>
            </w:r>
          </w:p>
        </w:tc>
        <w:tc>
          <w:tcPr>
            <w:tcW w:w="600" w:type="dxa"/>
            <w:vAlign w:val="bottom"/>
            <w:hideMark/>
          </w:tcPr>
          <w:p w:rsidRPr="00BF52A4" w:rsidR="00B43E1D" w:rsidP="00735B51" w:rsidRDefault="00B43E1D" w14:paraId="1FD88691" w14:textId="77777777">
            <w:pPr>
              <w:jc w:val="center"/>
              <w:textAlignment w:val="baseline"/>
              <w:rPr>
                <w:rFonts w:cstheme="minorHAnsi"/>
                <w:sz w:val="18"/>
                <w:szCs w:val="18"/>
              </w:rPr>
            </w:pPr>
            <w:r w:rsidRPr="00BF52A4">
              <w:rPr>
                <w:rFonts w:cstheme="minorHAnsi"/>
                <w:szCs w:val="24"/>
              </w:rPr>
              <w:t>0 </w:t>
            </w:r>
          </w:p>
        </w:tc>
        <w:tc>
          <w:tcPr>
            <w:tcW w:w="1125" w:type="dxa"/>
            <w:vAlign w:val="bottom"/>
            <w:hideMark/>
          </w:tcPr>
          <w:p w:rsidRPr="00BF52A4" w:rsidR="00B43E1D" w:rsidP="00735B51" w:rsidRDefault="00B43E1D" w14:paraId="50AF32C7" w14:textId="77777777">
            <w:pPr>
              <w:jc w:val="center"/>
              <w:textAlignment w:val="baseline"/>
              <w:rPr>
                <w:rFonts w:cstheme="minorHAnsi"/>
                <w:sz w:val="18"/>
                <w:szCs w:val="18"/>
              </w:rPr>
            </w:pPr>
            <w:r w:rsidRPr="00BF52A4">
              <w:rPr>
                <w:rFonts w:cstheme="minorHAnsi"/>
                <w:szCs w:val="24"/>
              </w:rPr>
              <w:t>0 </w:t>
            </w:r>
          </w:p>
        </w:tc>
        <w:tc>
          <w:tcPr>
            <w:tcW w:w="1140" w:type="dxa"/>
            <w:vAlign w:val="bottom"/>
            <w:hideMark/>
          </w:tcPr>
          <w:p w:rsidRPr="00BF52A4" w:rsidR="00B43E1D" w:rsidP="00735B51" w:rsidRDefault="00B43E1D" w14:paraId="6C3BEEC8" w14:textId="77777777">
            <w:pPr>
              <w:jc w:val="center"/>
              <w:textAlignment w:val="baseline"/>
              <w:rPr>
                <w:rFonts w:cstheme="minorHAnsi"/>
                <w:sz w:val="18"/>
                <w:szCs w:val="18"/>
              </w:rPr>
            </w:pPr>
            <w:r w:rsidRPr="00BF52A4">
              <w:rPr>
                <w:rFonts w:cstheme="minorHAnsi"/>
                <w:szCs w:val="24"/>
              </w:rPr>
              <w:t>0 </w:t>
            </w:r>
          </w:p>
        </w:tc>
        <w:tc>
          <w:tcPr>
            <w:tcW w:w="1410" w:type="dxa"/>
            <w:vAlign w:val="bottom"/>
            <w:hideMark/>
          </w:tcPr>
          <w:p w:rsidRPr="00BF52A4" w:rsidR="00B43E1D" w:rsidP="00735B51" w:rsidRDefault="00B43E1D" w14:paraId="52445D79" w14:textId="77777777">
            <w:pPr>
              <w:jc w:val="center"/>
              <w:textAlignment w:val="baseline"/>
              <w:rPr>
                <w:rFonts w:cstheme="minorHAnsi"/>
                <w:sz w:val="18"/>
                <w:szCs w:val="18"/>
              </w:rPr>
            </w:pPr>
            <w:r w:rsidRPr="00BF52A4">
              <w:rPr>
                <w:rFonts w:cstheme="minorHAnsi"/>
                <w:szCs w:val="24"/>
              </w:rPr>
              <w:t>Dubbel ordinarie dos </w:t>
            </w:r>
          </w:p>
        </w:tc>
        <w:tc>
          <w:tcPr>
            <w:tcW w:w="1395" w:type="dxa"/>
            <w:vAlign w:val="bottom"/>
            <w:hideMark/>
          </w:tcPr>
          <w:p w:rsidRPr="00BF52A4" w:rsidR="00B43E1D" w:rsidP="00735B51" w:rsidRDefault="00B43E1D" w14:paraId="23C2DDAD" w14:textId="77777777">
            <w:pPr>
              <w:jc w:val="center"/>
              <w:textAlignment w:val="baseline"/>
              <w:rPr>
                <w:rFonts w:cstheme="minorHAnsi"/>
                <w:sz w:val="18"/>
                <w:szCs w:val="18"/>
              </w:rPr>
            </w:pPr>
            <w:r w:rsidRPr="00BF52A4">
              <w:rPr>
                <w:rFonts w:cstheme="minorHAnsi"/>
                <w:szCs w:val="24"/>
              </w:rPr>
              <w:t>Dubbel ordinarie dos </w:t>
            </w:r>
          </w:p>
        </w:tc>
        <w:tc>
          <w:tcPr>
            <w:tcW w:w="1650" w:type="dxa"/>
            <w:vAlign w:val="bottom"/>
            <w:hideMark/>
          </w:tcPr>
          <w:p w:rsidRPr="00BF52A4" w:rsidR="00B43E1D" w:rsidP="00735B51" w:rsidRDefault="00B43E1D" w14:paraId="05BEECD9" w14:textId="77777777">
            <w:pPr>
              <w:jc w:val="center"/>
              <w:textAlignment w:val="baseline"/>
              <w:rPr>
                <w:rFonts w:cstheme="minorHAnsi"/>
                <w:sz w:val="18"/>
                <w:szCs w:val="18"/>
              </w:rPr>
            </w:pPr>
            <w:r w:rsidRPr="00BF52A4">
              <w:rPr>
                <w:rFonts w:cstheme="minorHAnsi"/>
                <w:szCs w:val="24"/>
              </w:rPr>
              <w:t>Ordinarie dos </w:t>
            </w:r>
          </w:p>
        </w:tc>
      </w:tr>
      <w:tr w:rsidRPr="002616FF" w:rsidR="00B43E1D" w:rsidTr="00735B51" w14:paraId="06C3D569" w14:textId="77777777">
        <w:trPr>
          <w:trHeight w:val="390"/>
        </w:trPr>
        <w:tc>
          <w:tcPr>
            <w:tcW w:w="1320" w:type="dxa"/>
            <w:vAlign w:val="bottom"/>
            <w:hideMark/>
          </w:tcPr>
          <w:p w:rsidRPr="00BF52A4" w:rsidR="00B43E1D" w:rsidP="00735B51" w:rsidRDefault="00B43E1D" w14:paraId="3DD676E7" w14:textId="77777777">
            <w:pPr>
              <w:textAlignment w:val="baseline"/>
              <w:rPr>
                <w:rFonts w:cstheme="minorHAnsi"/>
                <w:sz w:val="18"/>
                <w:szCs w:val="18"/>
              </w:rPr>
            </w:pPr>
            <w:r w:rsidRPr="00BF52A4">
              <w:rPr>
                <w:rFonts w:cstheme="minorHAnsi"/>
                <w:b/>
                <w:bCs/>
                <w:szCs w:val="24"/>
              </w:rPr>
              <w:t xml:space="preserve">Fragmin/ Innohep</w:t>
            </w:r>
            <w:proofErr w:type="spellStart"/>
            <w:r w:rsidRPr="00BF52A4">
              <w:rPr>
                <w:rFonts w:cstheme="minorHAnsi"/>
                <w:b/>
                <w:bCs/>
                <w:szCs w:val="24"/>
              </w:rPr>
              <w:t/>
            </w:r>
            <w:proofErr w:type="spellEnd"/>
            <w:r w:rsidRPr="00BF52A4">
              <w:rPr>
                <w:rFonts w:cstheme="minorHAnsi"/>
                <w:szCs w:val="24"/>
              </w:rPr>
              <w:t> </w:t>
            </w:r>
          </w:p>
          <w:p w:rsidRPr="00BF52A4" w:rsidR="00B43E1D" w:rsidP="00735B51" w:rsidRDefault="00B43E1D" w14:paraId="679C5BC0" w14:textId="77777777">
            <w:pPr>
              <w:textAlignment w:val="baseline"/>
              <w:rPr>
                <w:rFonts w:cstheme="minorHAnsi"/>
                <w:sz w:val="18"/>
                <w:szCs w:val="18"/>
              </w:rPr>
            </w:pPr>
            <w:r w:rsidRPr="00BF52A4">
              <w:rPr>
                <w:rFonts w:cstheme="minorHAnsi"/>
                <w:szCs w:val="24"/>
              </w:rPr>
              <w:t>Patienter 40–65 kg ges halva dosen </w:t>
            </w:r>
          </w:p>
        </w:tc>
        <w:tc>
          <w:tcPr>
            <w:tcW w:w="600" w:type="dxa"/>
            <w:vAlign w:val="bottom"/>
            <w:hideMark/>
          </w:tcPr>
          <w:p w:rsidRPr="00BF52A4" w:rsidR="00B43E1D" w:rsidP="00735B51" w:rsidRDefault="00B43E1D" w14:paraId="7478BACD" w14:textId="77777777">
            <w:pPr>
              <w:textAlignment w:val="baseline"/>
              <w:rPr>
                <w:rFonts w:cstheme="minorHAnsi"/>
                <w:sz w:val="18"/>
                <w:szCs w:val="18"/>
              </w:rPr>
            </w:pPr>
            <w:r w:rsidRPr="00BF52A4">
              <w:rPr>
                <w:rFonts w:cstheme="minorHAnsi"/>
                <w:szCs w:val="24"/>
              </w:rPr>
              <w:t> </w:t>
            </w:r>
          </w:p>
        </w:tc>
        <w:tc>
          <w:tcPr>
            <w:tcW w:w="1125" w:type="dxa"/>
            <w:vAlign w:val="bottom"/>
            <w:hideMark/>
          </w:tcPr>
          <w:p w:rsidRPr="00BF52A4" w:rsidR="00B43E1D" w:rsidP="00735B51" w:rsidRDefault="00B43E1D" w14:paraId="56A33372" w14:textId="77777777">
            <w:pPr>
              <w:textAlignment w:val="baseline"/>
              <w:rPr>
                <w:rFonts w:cstheme="minorHAnsi"/>
                <w:sz w:val="18"/>
                <w:szCs w:val="18"/>
              </w:rPr>
            </w:pPr>
            <w:r w:rsidRPr="00BF52A4">
              <w:rPr>
                <w:rFonts w:cstheme="minorHAnsi"/>
                <w:szCs w:val="24"/>
              </w:rPr>
              <w:t>10000E/ 8000E </w:t>
            </w:r>
          </w:p>
        </w:tc>
        <w:tc>
          <w:tcPr>
            <w:tcW w:w="1140" w:type="dxa"/>
            <w:vAlign w:val="bottom"/>
            <w:hideMark/>
          </w:tcPr>
          <w:p w:rsidRPr="00BF52A4" w:rsidR="00B43E1D" w:rsidP="00735B51" w:rsidRDefault="00B43E1D" w14:paraId="4DF988AF" w14:textId="77777777">
            <w:pPr>
              <w:textAlignment w:val="baseline"/>
              <w:rPr>
                <w:rFonts w:cstheme="minorHAnsi"/>
                <w:sz w:val="18"/>
                <w:szCs w:val="18"/>
              </w:rPr>
            </w:pPr>
            <w:r w:rsidRPr="00BF52A4">
              <w:rPr>
                <w:rFonts w:cstheme="minorHAnsi"/>
                <w:szCs w:val="24"/>
              </w:rPr>
              <w:t>10000E/ 8000E </w:t>
            </w:r>
          </w:p>
        </w:tc>
        <w:tc>
          <w:tcPr>
            <w:tcW w:w="1410" w:type="dxa"/>
            <w:vAlign w:val="bottom"/>
            <w:hideMark/>
          </w:tcPr>
          <w:p w:rsidRPr="00BF52A4" w:rsidR="00B43E1D" w:rsidP="00735B51" w:rsidRDefault="00B43E1D" w14:paraId="78FD8D78" w14:textId="77777777">
            <w:pPr>
              <w:textAlignment w:val="baseline"/>
              <w:rPr>
                <w:rFonts w:cstheme="minorHAnsi"/>
                <w:sz w:val="18"/>
                <w:szCs w:val="18"/>
              </w:rPr>
            </w:pPr>
            <w:r w:rsidRPr="00BF52A4">
              <w:rPr>
                <w:rFonts w:cstheme="minorHAnsi"/>
                <w:szCs w:val="24"/>
              </w:rPr>
              <w:t>10000E/ 8000E postoperativt </w:t>
            </w:r>
          </w:p>
        </w:tc>
        <w:tc>
          <w:tcPr>
            <w:tcW w:w="1395" w:type="dxa"/>
            <w:vAlign w:val="bottom"/>
            <w:hideMark/>
          </w:tcPr>
          <w:p w:rsidRPr="00BF52A4" w:rsidR="00B43E1D" w:rsidP="00735B51" w:rsidRDefault="00B43E1D" w14:paraId="32292403" w14:textId="77777777">
            <w:pPr>
              <w:textAlignment w:val="baseline"/>
              <w:rPr>
                <w:rFonts w:cstheme="minorHAnsi"/>
                <w:sz w:val="18"/>
                <w:szCs w:val="18"/>
              </w:rPr>
            </w:pPr>
            <w:r w:rsidRPr="00BF52A4">
              <w:rPr>
                <w:rFonts w:cstheme="minorHAnsi"/>
                <w:szCs w:val="24"/>
              </w:rPr>
              <w:t>10000E/ 8000E tills PK (INR) &gt;2,0 </w:t>
            </w:r>
          </w:p>
        </w:tc>
        <w:tc>
          <w:tcPr>
            <w:tcW w:w="1650" w:type="dxa"/>
            <w:vAlign w:val="bottom"/>
            <w:hideMark/>
          </w:tcPr>
          <w:p w:rsidRPr="00BF52A4" w:rsidR="00B43E1D" w:rsidP="00735B51" w:rsidRDefault="00B43E1D" w14:paraId="6F5764D3" w14:textId="77777777">
            <w:pPr>
              <w:textAlignment w:val="baseline"/>
              <w:rPr>
                <w:rFonts w:cstheme="minorHAnsi"/>
                <w:sz w:val="18"/>
                <w:szCs w:val="18"/>
              </w:rPr>
            </w:pPr>
            <w:r w:rsidRPr="00BF52A4">
              <w:rPr>
                <w:rFonts w:cstheme="minorHAnsi"/>
                <w:szCs w:val="24"/>
              </w:rPr>
              <w:t>10000E/ 8000E tills PK (INR) &gt;2,0 </w:t>
            </w:r>
          </w:p>
        </w:tc>
      </w:tr>
    </w:tbl>
    <w:p w:rsidRPr="00BB7AB1" w:rsidR="00B43E1D" w:rsidP="00B43E1D" w:rsidRDefault="00B43E1D" w14:paraId="21DEE035" w14:textId="77777777">
      <w:pPr>
        <w:rPr>
          <w:color w:val="000000" w:themeColor="text1"/>
        </w:rPr>
      </w:pPr>
      <w:r w:rsidRPr="00BB7AB1">
        <w:rPr>
          <w:color w:val="000000" w:themeColor="text1"/>
        </w:rPr>
        <w:lastRenderedPageBreak/>
        <w:t xml:space="preserve"> </w:t>
      </w:r>
    </w:p>
    <w:p w:rsidRPr="00BB7AB1" w:rsidR="00B43E1D" w:rsidP="00B43E1D" w:rsidRDefault="00B43E1D" w14:paraId="7E4C1A88" w14:textId="77777777">
      <w:pPr>
        <w:pStyle w:val="Rubrik2"/>
      </w:pPr>
      <w:r>
        <w:t>Ansvarsfördelning</w:t>
      </w:r>
    </w:p>
    <w:p w:rsidR="00B43E1D" w:rsidP="00B43E1D" w:rsidRDefault="00B43E1D" w14:paraId="48A2C5F9" w14:textId="77777777">
      <w:r w:rsidRPr="0CC9C7BB">
        <w:rPr>
          <w:b/>
          <w:bCs/>
        </w:rPr>
        <w:t>Opererande kliniks ansvar:</w:t>
      </w:r>
      <w:r>
        <w:t xml:space="preserve"> opererande klinik ansvarar för att meddela AK mottagningen när operationen skall ske och när warfarinbehandlingen kan återupptas. (Om patienten är inskriven på Hallands sjukhus (HS) kontaktas AK- mottagningen som ger instruktioner kring ut och återinsättning). AK-mottagningen skall informeras när patienten skrivs ut, i första hand via telefon. Om AK-mottagningen är stängd skrivs remiss i VAS. Ovanstående schema kan dock användas om besked från AK- mottagningen inte kan inväntas. AK- mottagningen måste dock ändå informeras.</w:t>
      </w:r>
      <w:proofErr w:type="spellStart"/>
      <w:r>
        <w:t/>
      </w:r>
      <w:proofErr w:type="spellEnd"/>
      <w:r>
        <w:t xml:space="preserve"/>
      </w:r>
    </w:p>
    <w:p w:rsidR="00B43E1D" w:rsidP="00B43E1D" w:rsidRDefault="00B43E1D" w14:paraId="2791B0F5" w14:textId="77777777">
      <w:r>
        <w:t xml:space="preserve">Eftersom överbryggande behandling med LMH inte alltid ges skall operatören också informera AK-mottagningen om operationen i sig är en indikation för profylaktisk behandling med LMH mot venös tromboembolism. Om patienten är inskriven på HS och står / skall stå på LMH skriver avdelningsläkaren recept på detta.</w:t>
      </w:r>
      <w:proofErr w:type="spellStart"/>
      <w:r>
        <w:t/>
      </w:r>
      <w:proofErr w:type="spellEnd"/>
      <w:r>
        <w:t/>
      </w:r>
    </w:p>
    <w:p w:rsidR="00B43E1D" w:rsidP="00B43E1D" w:rsidRDefault="00B43E1D" w14:paraId="1B3E7621" w14:textId="77777777"/>
    <w:p w:rsidR="00B43E1D" w:rsidP="00B43E1D" w:rsidRDefault="00B43E1D" w14:paraId="4646A2A2" w14:textId="77777777">
      <w:r w:rsidRPr="00D9408F">
        <w:rPr>
          <w:b/>
          <w:bCs/>
        </w:rPr>
        <w:t>AK-mottagningen ansvar:</w:t>
      </w:r>
      <w:r>
        <w:rPr>
          <w:b/>
          <w:bCs/>
        </w:rPr>
        <w:t/>
      </w:r>
      <w:r w:rsidRPr="00D9408F">
        <w:rPr>
          <w:b/>
          <w:bCs/>
        </w:rPr>
        <w:t/>
      </w:r>
      <w:r>
        <w:t xml:space="preserve"> AK-mottagningen ansvarar för att patienten instrueras om uppehållet med behandlingen och att patienten får adekvat dos LMH om det behövs som överbryggande terapi relaterat till högriskkriterierna i tabellen eller som en profylaktisk åtgärd relaterat till operationen. För polikliniska patienter skrivs recept av läkare knutna till AK mottagningen.</w:t>
      </w:r>
      <w:r w:rsidRPr="000B5857">
        <w:t/>
      </w:r>
    </w:p>
    <w:p w:rsidRPr="00BB7AB1" w:rsidR="00B43E1D" w:rsidP="00B43E1D" w:rsidRDefault="00B43E1D" w14:paraId="1EDA081B" w14:textId="77777777">
      <w:pPr>
        <w:rPr>
          <w:color w:val="000000" w:themeColor="text1"/>
        </w:rPr>
      </w:pPr>
    </w:p>
    <w:p w:rsidRPr="00F604FE" w:rsidR="00B43E1D" w:rsidP="00B43E1D" w:rsidRDefault="00B43E1D" w14:paraId="2D75B2D3" w14:textId="77777777">
      <w:pPr>
        <w:pStyle w:val="Rubrik3"/>
        <w:rPr>
          <w:b/>
          <w:bCs/>
        </w:rPr>
      </w:pPr>
      <w:proofErr w:type="spellStart"/>
      <w:r w:rsidRPr="0CC9C7BB">
        <w:rPr>
          <w:b/>
          <w:bCs/>
        </w:rPr>
        <w:t>Perioperativ hantering av Non-vitamin K Orala AntiKoagulantia (NOAK) (Eliquis, Lixiana, Pradaxa, Xarelto)</w:t>
      </w:r>
      <w:proofErr w:type="spellEnd"/>
      <w:r w:rsidRPr="0CC9C7BB">
        <w:rPr>
          <w:b/>
          <w:bCs/>
        </w:rPr>
        <w:t xml:space="preserve"/>
      </w:r>
      <w:proofErr w:type="spellStart"/>
      <w:r w:rsidRPr="0CC9C7BB">
        <w:rPr>
          <w:b/>
          <w:bCs/>
        </w:rPr>
        <w:t/>
      </w:r>
      <w:proofErr w:type="spellEnd"/>
      <w:r w:rsidRPr="0CC9C7BB">
        <w:rPr>
          <w:b/>
          <w:bCs/>
        </w:rPr>
        <w:t xml:space="preserve"/>
      </w:r>
      <w:proofErr w:type="spellStart"/>
      <w:r w:rsidRPr="0CC9C7BB">
        <w:rPr>
          <w:b/>
          <w:bCs/>
        </w:rPr>
        <w:t/>
      </w:r>
      <w:proofErr w:type="spellEnd"/>
      <w:r w:rsidRPr="0CC9C7BB">
        <w:rPr>
          <w:b/>
          <w:bCs/>
        </w:rPr>
        <w:t xml:space="preserve"/>
      </w:r>
      <w:proofErr w:type="spellStart"/>
      <w:r w:rsidRPr="0CC9C7BB">
        <w:rPr>
          <w:b/>
          <w:bCs/>
        </w:rPr>
        <w:t/>
      </w:r>
      <w:proofErr w:type="spellEnd"/>
      <w:r w:rsidRPr="0CC9C7BB">
        <w:rPr>
          <w:b/>
          <w:bCs/>
        </w:rPr>
        <w:t xml:space="preserve"/>
      </w:r>
      <w:proofErr w:type="spellStart"/>
      <w:r w:rsidRPr="0CC9C7BB">
        <w:rPr>
          <w:b/>
          <w:bCs/>
        </w:rPr>
        <w:t/>
      </w:r>
      <w:proofErr w:type="spellEnd"/>
      <w:r w:rsidRPr="0CC9C7BB">
        <w:rPr>
          <w:b/>
          <w:bCs/>
        </w:rPr>
        <w:t xml:space="preserve"/>
      </w:r>
      <w:proofErr w:type="spellStart"/>
      <w:r w:rsidRPr="0CC9C7BB">
        <w:rPr>
          <w:b/>
          <w:bCs/>
        </w:rPr>
        <w:t/>
      </w:r>
      <w:proofErr w:type="spellEnd"/>
      <w:r w:rsidRPr="0CC9C7BB">
        <w:rPr>
          <w:b/>
          <w:bCs/>
        </w:rPr>
        <w:t/>
      </w:r>
    </w:p>
    <w:p w:rsidR="00B43E1D" w:rsidP="00B43E1D" w:rsidRDefault="00B43E1D" w14:paraId="175A1947" w14:textId="77777777">
      <w:r>
        <w:t xml:space="preserve">Vid behandling med NOAK ges i normalfallet ingen överbryggande behandling med LMH. För högriskpatient (nyligen genomgången VTE (inom 3 månader]) eller PCI (inom 6 månader) konsulteras hematolog eller kardiologkonsult. Behandlingsuppehållet bestäms av operationens karaktär (hög eller låg risk) och njurfunktionen enligt rekommendationer från Svenska Sällskapet för Trombos och Hemostas (se nedan).</w:t>
      </w:r>
      <w:proofErr w:type="spellStart"/>
      <w:r>
        <w:t/>
      </w:r>
      <w:proofErr w:type="spellEnd"/>
      <w:r>
        <w:t xml:space="preserve"/>
      </w:r>
    </w:p>
    <w:p w:rsidR="00B43E1D" w:rsidP="00B43E1D" w:rsidRDefault="00B43E1D" w14:paraId="76887D59" w14:textId="77777777"/>
    <w:p w:rsidRPr="00E5526B" w:rsidR="00B43E1D" w:rsidP="00B43E1D" w:rsidRDefault="00B43E1D" w14:paraId="6D3DC740" w14:textId="77777777">
      <w:pPr>
        <w:rPr>
          <w:b/>
          <w:bCs/>
        </w:rPr>
      </w:pPr>
      <w:proofErr w:type="spellStart"/>
      <w:r w:rsidRPr="0CC9C7BB">
        <w:rPr>
          <w:b/>
          <w:bCs/>
        </w:rPr>
        <w:t>Elektiv kirurgi, tid från sista tablett till kirurgi:</w:t>
      </w:r>
      <w:proofErr w:type="spellEnd"/>
      <w:r w:rsidRPr="0CC9C7BB">
        <w:rPr>
          <w:b/>
          <w:bCs/>
        </w:rPr>
        <w:t xml:space="preserve"/>
      </w:r>
    </w:p>
    <w:p w:rsidR="00B43E1D" w:rsidP="00B43E1D" w:rsidRDefault="00B43E1D" w14:paraId="7611CF45" w14:textId="77777777">
      <w:r>
        <w:t xml:space="preserve">Inför kirurgi är det viktigt att ta hänsyn till att läkemedlets elimination är beroende av njurfunktionen. Ingreppets blödningsrisk och njurfunktionen avgör hur långt innan operation som läkemedlet måste vara utsatt. Eliminationen av Pradaxa är särskilt beroende av njurfunktionen. Nedanstående är en rekommendation men individuell bedömning av operatör kan vara nödvändig. </w:t>
      </w:r>
      <w:proofErr w:type="spellStart"/>
      <w:r>
        <w:t/>
      </w:r>
      <w:proofErr w:type="spellEnd"/>
      <w:r>
        <w:t xml:space="preserve"/>
      </w:r>
    </w:p>
    <w:p w:rsidR="00B43E1D" w:rsidP="00B43E1D" w:rsidRDefault="00B43E1D" w14:paraId="24496EFF" w14:textId="77777777">
      <w:pPr>
        <w:pStyle w:val="Liststycke"/>
        <w:numPr>
          <w:ilvl w:val="0"/>
          <w:numId w:val="13"/>
        </w:numPr>
      </w:pPr>
      <w:r>
        <w:t xml:space="preserve">Låg/standardriskingrepp* och eGFR &gt;30</w:t>
      </w:r>
      <w:proofErr w:type="spellStart"/>
      <w:r>
        <w:t/>
      </w:r>
      <w:proofErr w:type="spellEnd"/>
      <w:r>
        <w:t xml:space="preserve"/>
      </w:r>
      <w:r>
        <w:tab/>
        <w:t xml:space="preserve">1 dygn </w:t>
      </w:r>
    </w:p>
    <w:p w:rsidR="00B43E1D" w:rsidP="00B43E1D" w:rsidRDefault="00B43E1D" w14:paraId="3033F9E4" w14:textId="77777777">
      <w:pPr>
        <w:pStyle w:val="Liststycke"/>
        <w:numPr>
          <w:ilvl w:val="0"/>
          <w:numId w:val="13"/>
        </w:numPr>
      </w:pPr>
      <w:r>
        <w:t xml:space="preserve">Låg /standardriskingrepp och eGFR 15-30 </w:t>
      </w:r>
      <w:proofErr w:type="spellStart"/>
      <w:r>
        <w:t/>
      </w:r>
      <w:proofErr w:type="spellEnd"/>
      <w:r>
        <w:t xml:space="preserve"/>
      </w:r>
      <w:r>
        <w:tab/>
        <w:t>2 dygn</w:t>
      </w:r>
    </w:p>
    <w:p w:rsidR="00B43E1D" w:rsidP="00B43E1D" w:rsidRDefault="00B43E1D" w14:paraId="55065DB8" w14:textId="77777777">
      <w:pPr>
        <w:pStyle w:val="Liststycke"/>
        <w:numPr>
          <w:ilvl w:val="0"/>
          <w:numId w:val="13"/>
        </w:numPr>
      </w:pPr>
      <w:r>
        <w:t xml:space="preserve">Högriskingrepp* och eGFR &gt;30 </w:t>
      </w:r>
      <w:proofErr w:type="spellStart"/>
      <w:r>
        <w:t/>
      </w:r>
      <w:proofErr w:type="spellEnd"/>
      <w:r>
        <w:t xml:space="preserve"/>
      </w:r>
      <w:r>
        <w:tab/>
      </w:r>
      <w:r>
        <w:tab/>
        <w:t>2 dygn</w:t>
      </w:r>
    </w:p>
    <w:p w:rsidR="00B43E1D" w:rsidP="00B43E1D" w:rsidRDefault="00B43E1D" w14:paraId="70463707" w14:textId="77777777">
      <w:pPr>
        <w:pStyle w:val="Liststycke"/>
        <w:numPr>
          <w:ilvl w:val="0"/>
          <w:numId w:val="13"/>
        </w:numPr>
      </w:pPr>
      <w:r>
        <w:t xml:space="preserve">Högrisk och eGFR 15-30 Eliquis®, Lixiana®, Xarelto®</w:t>
      </w:r>
      <w:proofErr w:type="spellStart"/>
      <w:r>
        <w:t/>
      </w:r>
      <w:proofErr w:type="spellEnd"/>
      <w:r>
        <w:t xml:space="preserve"/>
      </w:r>
      <w:proofErr w:type="spellStart"/>
      <w:r>
        <w:t/>
      </w:r>
      <w:proofErr w:type="spellEnd"/>
      <w:r>
        <w:t xml:space="preserve"/>
      </w:r>
      <w:proofErr w:type="spellStart"/>
      <w:r>
        <w:t/>
      </w:r>
      <w:proofErr w:type="spellEnd"/>
      <w:r>
        <w:t xml:space="preserve"/>
      </w:r>
      <w:proofErr w:type="spellStart"/>
      <w:r>
        <w:t/>
      </w:r>
      <w:proofErr w:type="spellEnd"/>
      <w:r>
        <w:t/>
      </w:r>
      <w:r>
        <w:tab/>
        <w:t>3 dygn</w:t>
      </w:r>
    </w:p>
    <w:p w:rsidR="00B43E1D" w:rsidP="00B43E1D" w:rsidRDefault="00B43E1D" w14:paraId="50BA09EB" w14:textId="77777777">
      <w:pPr>
        <w:pStyle w:val="Liststycke"/>
        <w:numPr>
          <w:ilvl w:val="0"/>
          <w:numId w:val="13"/>
        </w:numPr>
      </w:pPr>
      <w:r>
        <w:t xml:space="preserve">Högrisk och eGFR 15-30 Pradaxa®</w:t>
      </w:r>
      <w:proofErr w:type="spellStart"/>
      <w:r>
        <w:t/>
      </w:r>
      <w:proofErr w:type="spellEnd"/>
      <w:r>
        <w:t xml:space="preserve"/>
      </w:r>
      <w:proofErr w:type="spellStart"/>
      <w:r>
        <w:t/>
      </w:r>
      <w:proofErr w:type="spellEnd"/>
      <w:r>
        <w:t/>
      </w:r>
      <w:r>
        <w:tab/>
      </w:r>
      <w:r>
        <w:tab/>
        <w:t>4 dygn</w:t>
      </w:r>
    </w:p>
    <w:p w:rsidR="00B43E1D" w:rsidP="00B43E1D" w:rsidRDefault="00B43E1D" w14:paraId="0C1B5850" w14:textId="77777777"/>
    <w:p w:rsidRPr="00E875DD" w:rsidR="00B43E1D" w:rsidP="00B43E1D" w:rsidRDefault="00B43E1D" w14:paraId="1017A3AC" w14:textId="77777777">
      <w:pPr>
        <w:rPr>
          <w:b/>
          <w:bCs/>
        </w:rPr>
      </w:pPr>
      <w:r w:rsidRPr="1E6D63E4">
        <w:rPr>
          <w:b/>
          <w:bCs/>
        </w:rPr>
        <w:t xml:space="preserve">Återinsättning av antikoagulantia efter kirurgi: </w:t>
      </w:r>
      <w:proofErr w:type="spellStart"/>
      <w:r w:rsidRPr="1E6D63E4">
        <w:rPr>
          <w:b/>
          <w:bCs/>
        </w:rPr>
        <w:t/>
      </w:r>
      <w:proofErr w:type="spellEnd"/>
      <w:r w:rsidRPr="1E6D63E4">
        <w:rPr>
          <w:b/>
          <w:bCs/>
        </w:rPr>
        <w:t xml:space="preserve"/>
      </w:r>
    </w:p>
    <w:p w:rsidR="00B43E1D" w:rsidP="00B43E1D" w:rsidRDefault="00B43E1D" w14:paraId="75EEB035" w14:textId="77777777">
      <w:pPr>
        <w:pStyle w:val="Liststycke"/>
        <w:numPr>
          <w:ilvl w:val="0"/>
          <w:numId w:val="12"/>
        </w:numPr>
        <w:spacing w:after="160" w:line="259" w:lineRule="auto"/>
        <w:rPr>
          <w:b/>
          <w:bCs/>
        </w:rPr>
      </w:pPr>
      <w:r>
        <w:t>Lågriskingrepp: 6-8 timmar (h) efter ingrepp eller nästa dag.</w:t>
      </w:r>
    </w:p>
    <w:p w:rsidR="00B43E1D" w:rsidP="00B43E1D" w:rsidRDefault="00B43E1D" w14:paraId="60EAE055" w14:textId="77777777">
      <w:pPr>
        <w:pStyle w:val="Liststycke"/>
        <w:numPr>
          <w:ilvl w:val="0"/>
          <w:numId w:val="12"/>
        </w:numPr>
        <w:spacing w:after="160" w:line="259" w:lineRule="auto"/>
      </w:pPr>
      <w:r>
        <w:t>Standardriskingrepp: 24-48 h efter kirurgi.</w:t>
      </w:r>
    </w:p>
    <w:p w:rsidR="00B43E1D" w:rsidP="00B43E1D" w:rsidRDefault="00B43E1D" w14:paraId="2DACF91E" w14:textId="77777777">
      <w:pPr>
        <w:pStyle w:val="Liststycke"/>
        <w:numPr>
          <w:ilvl w:val="0"/>
          <w:numId w:val="12"/>
        </w:numPr>
        <w:spacing w:after="160" w:line="259" w:lineRule="auto"/>
      </w:pPr>
      <w:r>
        <w:t xml:space="preserve">Högriskingrepp /patient: Återinsätt NOAK vid god hemostas. LMH gives postoperativt tills NOAK återinsatts. LMH ges enligt klinikens rutiner.</w:t>
      </w:r>
      <w:proofErr w:type="spellStart"/>
      <w:r>
        <w:t/>
      </w:r>
      <w:proofErr w:type="spellEnd"/>
      <w:r>
        <w:t/>
      </w:r>
    </w:p>
    <w:p w:rsidR="00B43E1D" w:rsidP="00B43E1D" w:rsidRDefault="00B43E1D" w14:paraId="5FDDBE60" w14:textId="77777777">
      <w:pPr>
        <w:pStyle w:val="Liststycke"/>
        <w:numPr>
          <w:ilvl w:val="0"/>
          <w:numId w:val="12"/>
        </w:numPr>
        <w:spacing w:after="160" w:line="259" w:lineRule="auto"/>
      </w:pPr>
      <w:r>
        <w:t xml:space="preserve">Peroral antikoagulantia återinsätts tidigast 24 timmar efter det att epiduralkateter (EDA) är dragen. LMH i profylaxdos kan ges. Dock tidigast 6 timmar efter LP, anläggande eller manipulation av EDA.</w:t>
      </w:r>
      <w:proofErr w:type="spellStart"/>
      <w:r>
        <w:t/>
      </w:r>
      <w:proofErr w:type="spellEnd"/>
      <w:r>
        <w:t xml:space="preserve"/>
      </w:r>
    </w:p>
    <w:p w:rsidRPr="006376CD" w:rsidR="00B43E1D" w:rsidP="00B43E1D" w:rsidRDefault="00B43E1D" w14:paraId="58DD57D8" w14:textId="77777777">
      <w:pPr>
        <w:rPr>
          <w:b/>
          <w:bCs/>
        </w:rPr>
      </w:pPr>
      <w:r w:rsidRPr="0CC9C7BB">
        <w:rPr>
          <w:b/>
          <w:bCs/>
        </w:rPr>
        <w:t>Exempel på</w:t>
      </w:r>
      <w:r>
        <w:t xml:space="preserve"> </w:t>
      </w:r>
      <w:r w:rsidRPr="0CC9C7BB">
        <w:rPr>
          <w:b/>
          <w:bCs/>
        </w:rPr>
        <w:t>låg/standardriskingrepp:</w:t>
      </w:r>
    </w:p>
    <w:p w:rsidRPr="006376CD" w:rsidR="00B43E1D" w:rsidP="00B43E1D" w:rsidRDefault="00B43E1D" w14:paraId="3E7FD3AF" w14:textId="77777777">
      <w:pPr>
        <w:rPr>
          <w:b/>
          <w:bCs/>
        </w:rPr>
      </w:pPr>
      <w:r>
        <w:lastRenderedPageBreak/>
        <w:t xml:space="preserve"> • Endoskopi (undantaget om biopsi ej är aktuellt) • Prostata eller urinblåsebiopsi • Radiofrekvensablation av SVT • Elektrofysiologi • Angiografi • Pacemakerimplantation • Benmärgsbiopsi • Ledpunktioner</w:t>
      </w:r>
      <w:proofErr w:type="spellStart"/>
      <w:r>
        <w:t/>
      </w:r>
      <w:proofErr w:type="spellEnd"/>
      <w:r>
        <w:t xml:space="preserve"/>
      </w:r>
    </w:p>
    <w:p w:rsidRPr="006376CD" w:rsidR="00B43E1D" w:rsidP="00B43E1D" w:rsidRDefault="00B43E1D" w14:paraId="48E8AEB9" w14:textId="77777777">
      <w:r>
        <w:t>Okomplicerad tandextraktion kan genomföras under pågående antikoagulation.</w:t>
      </w:r>
    </w:p>
    <w:p w:rsidR="00B43E1D" w:rsidP="00B43E1D" w:rsidRDefault="00B43E1D" w14:paraId="2183DA5B" w14:textId="77777777">
      <w:pPr>
        <w:rPr>
          <w:b/>
          <w:bCs/>
        </w:rPr>
      </w:pPr>
      <w:r w:rsidRPr="1E6D63E4">
        <w:rPr>
          <w:b/>
          <w:bCs/>
        </w:rPr>
        <w:t>Exempel på högriskingrepp:</w:t>
      </w:r>
    </w:p>
    <w:p w:rsidR="00B43E1D" w:rsidP="00B43E1D" w:rsidRDefault="00B43E1D" w14:paraId="5A5CA528" w14:textId="77777777">
      <w:r>
        <w:t>• LP, spinalanestesi • Thoraxkirurgi • Bukkirurgi • Större ortopedisk kirurgi • Lever/njurbiopsi • TUR-P</w:t>
      </w:r>
    </w:p>
    <w:p w:rsidR="00B43E1D" w:rsidP="00B43E1D" w:rsidRDefault="00B43E1D" w14:paraId="2F38D00A" w14:textId="77777777"/>
    <w:p w:rsidRPr="00BB7AB1" w:rsidR="00B43E1D" w:rsidP="00B43E1D" w:rsidRDefault="00B43E1D" w14:paraId="3191E7AD" w14:textId="77777777">
      <w:pPr>
        <w:pStyle w:val="Rubrik2"/>
      </w:pPr>
      <w:r>
        <w:t>Ansvarsfördelning</w:t>
      </w:r>
    </w:p>
    <w:p w:rsidR="00B43E1D" w:rsidP="00B43E1D" w:rsidRDefault="00B43E1D" w14:paraId="45719BBC" w14:textId="77777777">
      <w:pPr>
        <w:rPr>
          <w:b/>
          <w:bCs/>
        </w:rPr>
      </w:pPr>
      <w:r w:rsidRPr="006E5D1F">
        <w:rPr>
          <w:b/>
          <w:bCs/>
        </w:rPr>
        <w:t xml:space="preserve">Operatörens ansvar: </w:t>
      </w:r>
      <w:r>
        <w:rPr>
          <w:b/>
          <w:bCs/>
        </w:rPr>
        <w:t xml:space="preserve"/>
      </w:r>
    </w:p>
    <w:p w:rsidR="00B43E1D" w:rsidP="00B43E1D" w:rsidRDefault="00B43E1D" w14:paraId="32704481" w14:textId="77777777">
      <w:r w:rsidRPr="006D7077">
        <w:t xml:space="preserve">Operatören ansvarar för att patienten informeras om när NOAK skall sättas ut och när det skall återinsättas. Patienter som endast har LMH som del av ingreppsrelaterad trombosprofylax hanteras av ansvarig opererande klinik. </w:t>
      </w:r>
      <w:r>
        <w:t xml:space="preserve"/>
      </w:r>
    </w:p>
    <w:p w:rsidRPr="00A50D59" w:rsidR="00B43E1D" w:rsidP="00B43E1D" w:rsidRDefault="00B43E1D" w14:paraId="1800CE1A" w14:textId="77777777"/>
    <w:p w:rsidR="00B43E1D" w:rsidP="00B43E1D" w:rsidRDefault="00B43E1D" w14:paraId="71EF68A0" w14:textId="77777777">
      <w:pPr>
        <w:rPr>
          <w:b/>
          <w:bCs/>
        </w:rPr>
      </w:pPr>
      <w:r w:rsidRPr="00A50D59">
        <w:rPr>
          <w:b/>
          <w:bCs/>
        </w:rPr>
        <w:t xml:space="preserve">AK mottagningens ansvar: </w:t>
      </w:r>
      <w:r>
        <w:rPr>
          <w:b/>
          <w:bCs/>
        </w:rPr>
        <w:t xml:space="preserve"/>
      </w:r>
    </w:p>
    <w:p w:rsidR="00B43E1D" w:rsidP="00B43E1D" w:rsidRDefault="00B43E1D" w14:paraId="088DB046" w14:textId="77777777">
      <w:r>
        <w:t xml:space="preserve">Rådgivande åt operatör. </w:t>
      </w:r>
    </w:p>
    <w:p w:rsidR="00B43E1D" w:rsidP="00B43E1D" w:rsidRDefault="00B43E1D" w14:paraId="3EB02181" w14:textId="77777777"/>
    <w:p w:rsidR="00B43E1D" w:rsidP="00B43E1D" w:rsidRDefault="00B43E1D" w14:paraId="060234EC" w14:textId="77777777">
      <w:pPr>
        <w:rPr>
          <w:b/>
        </w:rPr>
      </w:pPr>
      <w:r w:rsidRPr="005B2D06">
        <w:rPr>
          <w:b/>
        </w:rPr>
        <w:t>Dokumentation i VAS</w:t>
      </w:r>
      <w:r>
        <w:rPr>
          <w:b/>
        </w:rPr>
        <w:t xml:space="preserve"/>
      </w:r>
    </w:p>
    <w:p w:rsidRPr="005B2D06" w:rsidR="00B43E1D" w:rsidP="00B43E1D" w:rsidRDefault="00B43E1D" w14:paraId="1DB4FA28" w14:textId="77777777">
      <w:r w:rsidRPr="005B2D06">
        <w:t>Kontakter som sker mellan opererande kliniker och AK-mottagningen ska dokumenteras i den opererande klinikens journal i VAS.  Det ska tydligt framgå om kontakt är gjord eller inte. Det är den opererande enheten som ansvarar för att dokumentationen sker.</w:t>
      </w:r>
      <w:r>
        <w:t xml:space="preserve"/>
      </w:r>
    </w:p>
    <w:p w:rsidRPr="00A50D59" w:rsidR="00B43E1D" w:rsidP="00B43E1D" w:rsidRDefault="00B43E1D" w14:paraId="42EDA1C1" w14:textId="77777777"/>
    <w:p w:rsidRPr="006870F5" w:rsidR="00B43E1D" w:rsidP="00B43E1D" w:rsidRDefault="00B43E1D" w14:paraId="31633F0F" w14:textId="77777777">
      <w:pPr>
        <w:rPr>
          <w:rFonts w:eastAsia="Calibri"/>
          <w:b/>
          <w:color w:val="000000" w:themeColor="text1"/>
          <w:sz w:val="32"/>
          <w:szCs w:val="28"/>
          <w:lang w:eastAsia="en-US"/>
        </w:rPr>
      </w:pPr>
      <w:bookmarkStart w:name="_Toc511716121" w:id="16"/>
      <w:r w:rsidRPr="006870F5">
        <w:rPr>
          <w:rFonts w:eastAsia="Calibri"/>
          <w:b/>
          <w:color w:val="000000" w:themeColor="text1"/>
          <w:sz w:val="32"/>
          <w:szCs w:val="28"/>
          <w:lang w:eastAsia="en-US"/>
        </w:rPr>
        <w:t>Kontaktuppgifter till AK mottagningarna</w:t>
      </w:r>
    </w:p>
    <w:bookmarkEnd w:id="16"/>
    <w:p w:rsidR="00B43E1D" w:rsidP="00B43E1D" w:rsidRDefault="00B43E1D" w14:paraId="4776E30A" w14:textId="77777777">
      <w:r>
        <w:t xml:space="preserve">AK-mottagningen Hallands sjukhus Halmstad </w:t>
      </w:r>
      <w:proofErr w:type="spellStart"/>
      <w:r>
        <w:t>tel</w:t>
      </w:r>
      <w:proofErr w:type="spellEnd"/>
      <w:r>
        <w:t xml:space="preserve">: 035-(1) </w:t>
      </w:r>
      <w:r w:rsidRPr="1E6D63E4">
        <w:rPr>
          <w:b/>
          <w:bCs/>
        </w:rPr>
        <w:t xml:space="preserve">31505 </w:t>
      </w:r>
    </w:p>
    <w:p w:rsidR="00B43E1D" w:rsidP="00B43E1D" w:rsidRDefault="00B43E1D" w14:paraId="36F0C023" w14:textId="77777777">
      <w:pPr>
        <w:rPr>
          <w:rFonts w:ascii="Calibri" w:hAnsi="Calibri" w:eastAsia="Calibri" w:cs="Calibri"/>
        </w:rPr>
      </w:pPr>
      <w:r>
        <w:t xml:space="preserve">AK-mottagningen Hallands sjukhus Varberg </w:t>
      </w:r>
      <w:proofErr w:type="spellStart"/>
      <w:r>
        <w:t>tel</w:t>
      </w:r>
      <w:proofErr w:type="spellEnd"/>
      <w:r>
        <w:t xml:space="preserve">: </w:t>
      </w:r>
      <w:r w:rsidRPr="1E6D63E4">
        <w:rPr>
          <w:rFonts w:ascii="Calibri" w:hAnsi="Calibri" w:eastAsia="Calibri" w:cs="Calibri"/>
          <w:color w:val="000000" w:themeColor="text1"/>
        </w:rPr>
        <w:t>0340-</w:t>
      </w:r>
      <w:r>
        <w:rPr>
          <w:rFonts w:ascii="Calibri" w:hAnsi="Calibri" w:eastAsia="Calibri" w:cs="Calibri"/>
          <w:color w:val="000000" w:themeColor="text1"/>
        </w:rPr>
        <w:t>(</w:t>
      </w:r>
      <w:r w:rsidRPr="1E6D63E4">
        <w:rPr>
          <w:rFonts w:ascii="Calibri" w:hAnsi="Calibri" w:eastAsia="Calibri" w:cs="Calibri"/>
          <w:color w:val="000000" w:themeColor="text1"/>
        </w:rPr>
        <w:t>5</w:t>
      </w:r>
      <w:r>
        <w:rPr>
          <w:rFonts w:ascii="Calibri" w:hAnsi="Calibri" w:eastAsia="Calibri" w:cs="Calibri"/>
          <w:color w:val="000000" w:themeColor="text1"/>
        </w:rPr>
        <w:t xml:space="preserve">) </w:t>
      </w:r>
      <w:r w:rsidRPr="006870F5">
        <w:rPr>
          <w:b/>
          <w:bCs/>
        </w:rPr>
        <w:t>80197</w:t>
      </w:r>
    </w:p>
    <w:p w:rsidR="00B43E1D" w:rsidP="00B43E1D" w:rsidRDefault="00B43E1D" w14:paraId="4D07DFD2" w14:textId="77777777">
      <w:pPr>
        <w:rPr>
          <w:color w:val="000000" w:themeColor="text1"/>
        </w:rPr>
      </w:pPr>
    </w:p>
    <w:p w:rsidRPr="00BB7AB1" w:rsidR="00B43E1D" w:rsidP="00B43E1D" w:rsidRDefault="00B43E1D" w14:paraId="422264B7" w14:textId="77777777">
      <w:pPr>
        <w:rPr>
          <w:color w:val="000000" w:themeColor="text1"/>
        </w:rPr>
      </w:pPr>
    </w:p>
    <w:p w:rsidRPr="00BB7AB1" w:rsidR="00B43E1D" w:rsidP="00B43E1D" w:rsidRDefault="00B43E1D" w14:paraId="3C7E89C3" w14:textId="77777777">
      <w:pPr>
        <w:pStyle w:val="Rubrik1"/>
      </w:pPr>
      <w:bookmarkStart w:name="_Toc511716125" w:id="17"/>
      <w:bookmarkStart w:name="_Toc137812407" w:id="18"/>
      <w:r w:rsidRPr="00BB7AB1">
        <w:t>Referenser och bilagor:</w:t>
      </w:r>
      <w:bookmarkEnd w:id="17"/>
      <w:bookmarkEnd w:id="18"/>
    </w:p>
    <w:p w:rsidR="00B43E1D" w:rsidP="00B43E1D" w:rsidRDefault="00B43E1D" w14:paraId="5D77CA0A" w14:textId="77777777">
      <w:r>
        <w:t xml:space="preserve">Kunskapsunderlag: </w:t>
      </w:r>
      <w:hyperlink w:history="1" r:id="rId18">
        <w:r w:rsidRPr="00C512B8">
          <w:rPr>
            <w:rStyle w:val="Hyperlnk"/>
          </w:rPr>
          <w:t xml:space="preserve">Svenska Sällskapet för Trombos och </w:t>
        </w:r>
        <w:proofErr w:type="spellStart"/>
        <w:r w:rsidRPr="00C512B8">
          <w:rPr>
            <w:rStyle w:val="Hyperlnk"/>
          </w:rPr>
          <w:t>Hemostas</w:t>
        </w:r>
        <w:proofErr w:type="spellEnd"/>
        <w:r w:rsidRPr="00C512B8">
          <w:rPr>
            <w:rStyle w:val="Hyperlnk"/>
          </w:rPr>
          <w:t>: Kliniska råd vid behandling med NOAK</w:t>
        </w:r>
      </w:hyperlink>
      <w:r>
        <w:t xml:space="preserve">: </w:t>
      </w:r>
    </w:p>
    <w:p w:rsidR="00B43E1D" w:rsidP="00B43E1D" w:rsidRDefault="00B43E1D" w14:paraId="578ED76B" w14:textId="77777777">
      <w:pPr>
        <w:rPr>
          <w:b/>
          <w:bCs/>
        </w:rPr>
      </w:pPr>
    </w:p>
    <w:p w:rsidRPr="00BB7AB1" w:rsidR="00B43E1D" w:rsidP="00B43E1D" w:rsidRDefault="00B43E1D" w14:paraId="1DEB126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BB7AB1" w:rsidR="00B43E1D" w:rsidTr="00735B51" w14:paraId="3542D81F"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BB7AB1" w:rsidR="00B43E1D" w:rsidP="00735B51" w:rsidRDefault="00B43E1D" w14:paraId="5E2D5D18" w14:textId="77777777">
            <w:pPr>
              <w:pStyle w:val="Rubrik1"/>
            </w:pPr>
            <w:bookmarkStart w:name="_Toc338760458" w:id="19"/>
            <w:bookmarkStart w:name="_Toc338760522" w:id="20"/>
            <w:bookmarkStart w:name="_Toc338760588" w:id="21"/>
            <w:bookmarkStart w:name="_Toc338760604" w:id="22"/>
            <w:bookmarkStart w:name="_Toc511716126" w:id="23"/>
            <w:bookmarkStart w:name="_Toc137812408" w:id="24"/>
            <w:r w:rsidRPr="00BB7AB1">
              <w:t>Uppdaterat från föregående version</w:t>
            </w:r>
            <w:bookmarkEnd w:id="19"/>
            <w:bookmarkEnd w:id="20"/>
            <w:bookmarkEnd w:id="21"/>
            <w:bookmarkEnd w:id="22"/>
            <w:bookmarkEnd w:id="23"/>
            <w:bookmarkEnd w:id="24"/>
          </w:p>
          <w:p w:rsidRPr="00BB7AB1" w:rsidR="00B43E1D" w:rsidP="00735B51" w:rsidRDefault="00B43E1D" w14:paraId="0D594899" w14:textId="7F3BA534">
            <w:r>
              <w:t xml:space="preserve">2023-06-16 Rutinen är ny, ersätter tidigare </w:t>
            </w:r>
            <w:r w:rsidRPr="00B43E1D">
              <w:rPr>
                <w:i/>
                <w:iCs/>
                <w:szCs w:val="22"/>
              </w:rPr>
              <w:t>”</w:t>
            </w:r>
            <w:r w:rsidRPr="00B43E1D">
              <w:rPr>
                <w:i/>
                <w:iCs/>
                <w:color w:val="000000"/>
                <w:szCs w:val="22"/>
              </w:rPr>
              <w:t xml:space="preserve">Läkemedel - Perorala antikoagulantia i samband med operationer – handläggning</w:t>
            </w:r>
            <w:proofErr w:type="spellStart"/>
            <w:r w:rsidRPr="00B43E1D">
              <w:rPr>
                <w:i/>
                <w:iCs/>
                <w:color w:val="000000"/>
                <w:szCs w:val="22"/>
              </w:rPr>
              <w:t/>
            </w:r>
            <w:proofErr w:type="spellEnd"/>
            <w:r w:rsidRPr="00B43E1D">
              <w:rPr>
                <w:i/>
                <w:iCs/>
                <w:color w:val="000000"/>
                <w:szCs w:val="22"/>
              </w:rPr>
              <w:t xml:space="preserve"/>
            </w:r>
            <w:r w:rsidRPr="00B43E1D">
              <w:rPr>
                <w:color w:val="000000"/>
                <w:szCs w:val="22"/>
              </w:rPr>
              <w:t>”</w:t>
            </w:r>
          </w:p>
        </w:tc>
      </w:tr>
    </w:tbl>
    <w:p w:rsidRPr="00BB7AB1" w:rsidR="00B43E1D" w:rsidP="00B43E1D" w:rsidRDefault="00B43E1D" w14:paraId="6069DC20" w14:textId="77777777"/>
    <w:p w:rsidR="00EA3323" w:rsidP="00EA3323" w:rsidRDefault="00EA3323" w14:paraId="00D1C472" w14:textId="77777777"/>
    <w:sectPr w:rsidR="00EA3323" w:rsidSect="000636E3">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2C8E" w14:textId="77777777" w:rsidR="001D049C" w:rsidRDefault="001D049C" w:rsidP="00332D94">
      <w:r>
        <w:separator/>
      </w:r>
    </w:p>
  </w:endnote>
  <w:endnote w:type="continuationSeparator" w:id="0">
    <w:p w14:paraId="0B7269CF" w14:textId="77777777" w:rsidR="001D049C" w:rsidRDefault="001D049C"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BF3020"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BF3020"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BF3020" w14:paraId="3D266039" w14:textId="77777777">
          <w:pPr>
            <w:pStyle w:val="Sidfot"/>
            <w:rPr>
              <w:sz w:val="20"/>
            </w:rPr>
          </w:pPr>
          <w:r w:rsidRPr="00730DA5">
            <w:rPr>
              <w:sz w:val="20"/>
            </w:rPr>
            <w:t>Vårdriktlinje: Perioperativ hantering av peroral antikoagulantia</w:t>
          </w:r>
        </w:p>
      </w:tc>
      <w:tc>
        <w:tcPr>
          <w:tcW w:w="1933" w:type="dxa"/>
        </w:tcPr>
        <w:p w:rsidR="0086669C" w:rsidP="0086669C" w:rsidRDefault="00BF3020"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BF3020" w14:paraId="587C5A37" w14:textId="03C78902">
          <w:pPr>
            <w:pStyle w:val="Sidfot"/>
            <w:rPr>
              <w:sz w:val="20"/>
            </w:rPr>
          </w:pPr>
          <w:r w:rsidRPr="37904626">
            <w:rPr>
              <w:sz w:val="20"/>
              <w:szCs w:val="20"/>
            </w:rPr>
            <w:t xml:space="preserve">Fastställd av: Regional samordnande chefläkare, Godkänt: 2023-08-01</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86669C" w:rsidP="0086669C" w:rsidRDefault="00BF3020" w14:paraId="359DDFB3" w14:textId="77777777">
          <w:pPr>
            <w:pStyle w:val="Sidfot"/>
            <w:jc w:val="right"/>
            <w:rPr>
              <w:sz w:val="20"/>
            </w:rPr>
          </w:pPr>
        </w:p>
      </w:tc>
    </w:tr>
    <w:tr w:rsidR="0086669C" w:rsidTr="00220BF1" w14:paraId="450F38E4" w14:textId="77777777">
      <w:tc>
        <w:tcPr>
          <w:tcW w:w="7083" w:type="dxa"/>
        </w:tcPr>
        <w:p w:rsidRPr="37904626" w:rsidR="0086669C" w:rsidP="0086669C" w:rsidRDefault="00BF3020" w14:paraId="62B6D4D4" w14:textId="77777777">
          <w:pPr>
            <w:pStyle w:val="Sidfot"/>
            <w:rPr>
              <w:sz w:val="20"/>
              <w:szCs w:val="20"/>
            </w:rPr>
          </w:pPr>
          <w:r>
            <w:rPr>
              <w:sz w:val="20"/>
            </w:rPr>
            <w:t xml:space="preserve">Huvudförfattare: Carlwe Martin HS MED</w:t>
          </w:r>
          <w:r w:rsidRPr="001E66B2">
            <w:rPr>
              <w:sz w:val="20"/>
            </w:rPr>
            <w:t/>
          </w:r>
        </w:p>
      </w:tc>
      <w:tc>
        <w:tcPr>
          <w:tcW w:w="1933" w:type="dxa"/>
        </w:tcPr>
        <w:p w:rsidRPr="00CE3B56" w:rsidR="0086669C" w:rsidP="0086669C" w:rsidRDefault="00BF3020" w14:paraId="1B0FB7E9" w14:textId="77777777">
          <w:pPr>
            <w:pStyle w:val="Sidfot"/>
            <w:jc w:val="right"/>
            <w:rPr>
              <w:sz w:val="20"/>
            </w:rPr>
          </w:pPr>
        </w:p>
      </w:tc>
    </w:tr>
  </w:tbl>
  <w:p w:rsidR="0086669C" w:rsidRDefault="00BF3020"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BF3020" w14:paraId="20748AEE" w14:textId="77777777">
          <w:pPr>
            <w:pStyle w:val="Sidfot"/>
            <w:rPr>
              <w:sz w:val="20"/>
            </w:rPr>
          </w:pPr>
          <w:r w:rsidRPr="00730DA5">
            <w:rPr>
              <w:sz w:val="20"/>
            </w:rPr>
            <w:t>Vårdriktlinje: Perioperativ hantering av peroral antikoagulantia</w:t>
          </w:r>
        </w:p>
      </w:tc>
      <w:tc>
        <w:tcPr>
          <w:tcW w:w="1933" w:type="dxa"/>
        </w:tcPr>
        <w:p w:rsidR="000D6F1B" w:rsidP="000D6F1B" w:rsidRDefault="00BF3020"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BF3020" w14:paraId="4CE66246" w14:textId="1B30AB59">
          <w:pPr>
            <w:pStyle w:val="Sidfot"/>
            <w:rPr>
              <w:sz w:val="20"/>
            </w:rPr>
          </w:pPr>
          <w:r w:rsidRPr="37904626">
            <w:rPr>
              <w:sz w:val="20"/>
              <w:szCs w:val="20"/>
            </w:rPr>
            <w:t xml:space="preserve">Fastställd av: Regional samordnande chefläkare, Godkänt: 2023-08-01</w:t>
          </w:r>
          <w:r>
            <w:rPr>
              <w:sz w:val="20"/>
              <w:szCs w:val="20"/>
            </w:rPr>
            <w:t/>
          </w:r>
          <w:r w:rsidRPr="37904626">
            <w:rPr>
              <w:sz w:val="20"/>
              <w:szCs w:val="20"/>
            </w:rPr>
            <w:t/>
          </w:r>
          <w:r w:rsidRPr="00306A86">
            <w:rPr>
              <w:sz w:val="20"/>
              <w:szCs w:val="20"/>
            </w:rPr>
            <w:t/>
          </w:r>
          <w:r>
            <w:rPr>
              <w:sz w:val="20"/>
              <w:szCs w:val="20"/>
            </w:rPr>
            <w:t/>
          </w:r>
          <w:r>
            <w:rPr>
              <w:sz w:val="20"/>
              <w:szCs w:val="20"/>
            </w:rPr>
            <w:t/>
          </w:r>
          <w:r w:rsidRPr="37904626">
            <w:rPr>
              <w:sz w:val="20"/>
              <w:szCs w:val="20"/>
            </w:rPr>
            <w:t/>
          </w:r>
        </w:p>
      </w:tc>
      <w:tc>
        <w:tcPr>
          <w:tcW w:w="1933" w:type="dxa"/>
        </w:tcPr>
        <w:p w:rsidRPr="00CE3B56" w:rsidR="000D6F1B" w:rsidP="000D6F1B" w:rsidRDefault="00BF3020" w14:paraId="3D5506B3" w14:textId="77777777">
          <w:pPr>
            <w:pStyle w:val="Sidfot"/>
            <w:jc w:val="right"/>
            <w:rPr>
              <w:sz w:val="20"/>
            </w:rPr>
          </w:pPr>
        </w:p>
      </w:tc>
    </w:tr>
    <w:tr w:rsidR="000D6F1B" w:rsidTr="00595120" w14:paraId="0A90BD92" w14:textId="77777777">
      <w:tc>
        <w:tcPr>
          <w:tcW w:w="7083" w:type="dxa"/>
        </w:tcPr>
        <w:p w:rsidRPr="37904626" w:rsidR="000D6F1B" w:rsidP="000D6F1B" w:rsidRDefault="00BF3020" w14:paraId="41CB39C8" w14:textId="77777777">
          <w:pPr>
            <w:pStyle w:val="Sidfot"/>
            <w:rPr>
              <w:sz w:val="20"/>
              <w:szCs w:val="20"/>
            </w:rPr>
          </w:pPr>
          <w:r>
            <w:rPr>
              <w:sz w:val="20"/>
            </w:rPr>
            <w:t xml:space="preserve">Huvudförfattare: Carlwe Martin HS MED</w:t>
          </w:r>
          <w:r w:rsidRPr="001E66B2">
            <w:rPr>
              <w:sz w:val="20"/>
            </w:rPr>
            <w:t/>
          </w:r>
        </w:p>
      </w:tc>
      <w:tc>
        <w:tcPr>
          <w:tcW w:w="1933" w:type="dxa"/>
        </w:tcPr>
        <w:p w:rsidRPr="00CE3B56" w:rsidR="000D6F1B" w:rsidP="000D6F1B" w:rsidRDefault="00BF3020" w14:paraId="2C7473F1" w14:textId="77777777">
          <w:pPr>
            <w:pStyle w:val="Sidfot"/>
            <w:jc w:val="right"/>
            <w:rPr>
              <w:sz w:val="20"/>
            </w:rPr>
          </w:pPr>
        </w:p>
      </w:tc>
    </w:tr>
  </w:tbl>
  <w:p w:rsidR="000D6F1B" w:rsidRDefault="00BF3020"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BF3020" w14:paraId="70DA62BB" w14:textId="77777777">
          <w:pPr>
            <w:pStyle w:val="Sidfot"/>
            <w:rPr>
              <w:sz w:val="20"/>
            </w:rPr>
          </w:pPr>
          <w:r w:rsidRPr="00730DA5">
            <w:rPr>
              <w:sz w:val="20"/>
            </w:rPr>
            <w:t>Vårdriktlinje: Perioperativ hantering av peroral antikoagulantia</w:t>
          </w:r>
        </w:p>
      </w:tc>
      <w:tc>
        <w:tcPr>
          <w:tcW w:w="1933" w:type="dxa"/>
        </w:tcPr>
        <w:p w:rsidR="000D6F1B" w:rsidP="000D6F1B" w:rsidRDefault="00BF3020"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BF3020" w14:paraId="2B59EE43" w14:textId="7DDD34D0">
          <w:pPr>
            <w:pStyle w:val="Sidfot"/>
            <w:rPr>
              <w:sz w:val="20"/>
            </w:rPr>
          </w:pPr>
          <w:r w:rsidRPr="37904626">
            <w:rPr>
              <w:sz w:val="20"/>
              <w:szCs w:val="20"/>
            </w:rPr>
            <w:t xml:space="preserve">Fastställd av: Regional samordnande chefläkare, Godkänt: 2023-08-01</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0D6F1B" w:rsidP="000D6F1B" w:rsidRDefault="00BF3020" w14:paraId="3416583C" w14:textId="77777777">
          <w:pPr>
            <w:pStyle w:val="Sidfot"/>
            <w:jc w:val="right"/>
            <w:rPr>
              <w:sz w:val="20"/>
            </w:rPr>
          </w:pPr>
        </w:p>
      </w:tc>
    </w:tr>
    <w:tr w:rsidR="000D6F1B" w:rsidTr="00595120" w14:paraId="19CABEE9" w14:textId="77777777">
      <w:tc>
        <w:tcPr>
          <w:tcW w:w="7083" w:type="dxa"/>
        </w:tcPr>
        <w:p w:rsidRPr="37904626" w:rsidR="000D6F1B" w:rsidP="000D6F1B" w:rsidRDefault="00BF3020" w14:paraId="3A930822" w14:textId="77777777">
          <w:pPr>
            <w:pStyle w:val="Sidfot"/>
            <w:rPr>
              <w:sz w:val="20"/>
              <w:szCs w:val="20"/>
            </w:rPr>
          </w:pPr>
          <w:r>
            <w:rPr>
              <w:sz w:val="20"/>
            </w:rPr>
            <w:t xml:space="preserve">Huvudförfattare: Carlwe Martin HS MED</w:t>
          </w:r>
          <w:r w:rsidRPr="001E66B2">
            <w:rPr>
              <w:sz w:val="20"/>
            </w:rPr>
            <w:t/>
          </w:r>
        </w:p>
      </w:tc>
      <w:tc>
        <w:tcPr>
          <w:tcW w:w="1933" w:type="dxa"/>
        </w:tcPr>
        <w:p w:rsidRPr="00CE3B56" w:rsidR="000D6F1B" w:rsidP="000D6F1B" w:rsidRDefault="00BF3020" w14:paraId="35ABC5A9" w14:textId="77777777">
          <w:pPr>
            <w:pStyle w:val="Sidfot"/>
            <w:jc w:val="right"/>
            <w:rPr>
              <w:sz w:val="20"/>
            </w:rPr>
          </w:pPr>
        </w:p>
      </w:tc>
    </w:tr>
  </w:tbl>
  <w:p w:rsidR="00AB2F14" w:rsidRDefault="00BF3020"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BF3020"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BF3020" w14:paraId="0BD4DF7E" w14:textId="77777777">
          <w:pPr>
            <w:pStyle w:val="Sidfot"/>
            <w:rPr>
              <w:sz w:val="20"/>
            </w:rPr>
          </w:pPr>
          <w:r w:rsidRPr="00730DA5">
            <w:rPr>
              <w:sz w:val="20"/>
            </w:rPr>
            <w:t>Vårdriktlinje: Perioperativ hantering av peroral antikoagulantia</w:t>
          </w:r>
        </w:p>
      </w:tc>
      <w:tc>
        <w:tcPr>
          <w:tcW w:w="1933" w:type="dxa"/>
        </w:tcPr>
        <w:p w:rsidR="00256277" w:rsidP="0086669C" w:rsidRDefault="00BF3020"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BF3020" w14:paraId="22DEC7FD" w14:textId="77777777">
          <w:pPr>
            <w:pStyle w:val="Sidfot"/>
            <w:rPr>
              <w:sz w:val="20"/>
            </w:rPr>
          </w:pPr>
          <w:r w:rsidRPr="37904626">
            <w:rPr>
              <w:sz w:val="20"/>
              <w:szCs w:val="20"/>
            </w:rPr>
            <w:t xml:space="preserve">Fastställd av: Regional samordnande chefläkare, Godkänt: 2023-08-01</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256277" w:rsidP="0086669C" w:rsidRDefault="00BF3020"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BF3020" w14:paraId="75CFE404" w14:textId="77777777">
          <w:pPr>
            <w:pStyle w:val="Sidfot"/>
            <w:rPr>
              <w:sz w:val="20"/>
              <w:szCs w:val="20"/>
            </w:rPr>
          </w:pPr>
          <w:r>
            <w:rPr>
              <w:sz w:val="20"/>
            </w:rPr>
            <w:t xml:space="preserve">Huvudförfattare: Carlwe Martin HS MED</w:t>
          </w:r>
          <w:r w:rsidRPr="001E66B2">
            <w:rPr>
              <w:sz w:val="20"/>
            </w:rPr>
            <w:t/>
          </w:r>
        </w:p>
      </w:tc>
      <w:tc>
        <w:tcPr>
          <w:tcW w:w="1933" w:type="dxa"/>
        </w:tcPr>
        <w:p w:rsidRPr="00CE3B56" w:rsidR="00256277" w:rsidP="0086669C" w:rsidRDefault="00BF3020" w14:paraId="436B6CFB" w14:textId="77777777">
          <w:pPr>
            <w:pStyle w:val="Sidfot"/>
            <w:jc w:val="right"/>
            <w:rPr>
              <w:sz w:val="20"/>
            </w:rPr>
          </w:pPr>
        </w:p>
      </w:tc>
    </w:tr>
  </w:tbl>
  <w:p w:rsidR="00256277" w:rsidRDefault="00BF3020"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BF3020"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4605" w14:textId="77777777" w:rsidR="001D049C" w:rsidRDefault="001D049C" w:rsidP="00332D94">
      <w:r>
        <w:separator/>
      </w:r>
    </w:p>
  </w:footnote>
  <w:footnote w:type="continuationSeparator" w:id="0">
    <w:p w14:paraId="31BE9B76" w14:textId="77777777" w:rsidR="001D049C" w:rsidRDefault="001D049C"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BF3020"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BF3020" w14:paraId="7737927F" w14:textId="77777777">
          <w:pPr>
            <w:pStyle w:val="Sidhuvud"/>
          </w:pPr>
          <w:r w:rsidRPr="00CE3B56">
            <w:rPr>
              <w:sz w:val="20"/>
            </w:rPr>
            <w:t>Gäller för:</w:t>
          </w:r>
          <w:r>
            <w:rPr>
              <w:sz w:val="20"/>
            </w:rPr>
            <w:t xml:space="preserve"> </w:t>
          </w:r>
          <w:r w:rsidRPr="0090517B">
            <w:rPr>
              <w:sz w:val="20"/>
            </w:rPr>
            <w:t>Region Halland</w:t>
          </w:r>
        </w:p>
      </w:tc>
      <w:tc>
        <w:tcPr>
          <w:tcW w:w="4508" w:type="dxa"/>
        </w:tcPr>
        <w:p w:rsidR="00E219F1" w:rsidP="00E219F1" w:rsidRDefault="00BF3020" w14:paraId="29FC14AA" w14:textId="77777777">
          <w:pPr>
            <w:pStyle w:val="Sidhuvud"/>
            <w:jc w:val="right"/>
          </w:pPr>
          <w:r>
            <w:rPr>
              <w:noProof/>
            </w:rPr>
            <w:drawing>
              <wp:inline distT="0" distB="0" distL="0" distR="0" wp14:anchorId="22BEC089" wp14:editId="0AED195F">
                <wp:extent cx="1571625" cy="438150"/>
                <wp:effectExtent l="0" t="0" r="9525" b="0"/>
                <wp:docPr id="726274129" name="Bildobjekt 72627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BF3020"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BF3020" w14:paraId="19A9EEB7" w14:textId="77777777">
          <w:pPr>
            <w:pStyle w:val="Sidhuvud"/>
          </w:pPr>
          <w:r w:rsidRPr="00CE3B56">
            <w:rPr>
              <w:sz w:val="20"/>
            </w:rPr>
            <w:t>Gäller för:</w:t>
          </w:r>
          <w:r>
            <w:rPr>
              <w:sz w:val="20"/>
            </w:rPr>
            <w:t xml:space="preserve"> </w:t>
          </w:r>
          <w:r w:rsidRPr="0090517B">
            <w:rPr>
              <w:sz w:val="20"/>
            </w:rPr>
            <w:t>Region Halland</w:t>
          </w:r>
        </w:p>
      </w:tc>
      <w:tc>
        <w:tcPr>
          <w:tcW w:w="4508" w:type="dxa"/>
        </w:tcPr>
        <w:p w:rsidR="000D6F1B" w:rsidP="000D6F1B" w:rsidRDefault="00BF3020" w14:paraId="2737AE29" w14:textId="77777777">
          <w:pPr>
            <w:pStyle w:val="Sidhuvud"/>
            <w:jc w:val="right"/>
          </w:pPr>
          <w:r>
            <w:rPr>
              <w:noProof/>
            </w:rPr>
            <w:drawing>
              <wp:inline distT="0" distB="0" distL="0" distR="0" wp14:anchorId="77D1C5EB" wp14:editId="45A2C2E1">
                <wp:extent cx="1571625" cy="438150"/>
                <wp:effectExtent l="0" t="0" r="9525" b="0"/>
                <wp:docPr id="826335986" name="Bildobjekt 826335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BF3020"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BF3020" w14:paraId="101B0AFB"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0D6F1B" w:rsidP="000D6F1B" w:rsidRDefault="00BF3020" w14:paraId="7880FF78" w14:textId="77777777">
          <w:pPr>
            <w:pStyle w:val="Sidhuvud"/>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BF3020"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BF3020" w14:paraId="2A0EA42E" w14:textId="77777777">
          <w:pPr>
            <w:pStyle w:val="Sidhuvud"/>
          </w:pPr>
          <w:r w:rsidRPr="00CE3B56">
            <w:rPr>
              <w:sz w:val="20"/>
            </w:rPr>
            <w:t>Gäller för:</w:t>
          </w:r>
          <w:r>
            <w:rPr>
              <w:sz w:val="20"/>
            </w:rPr>
            <w:t xml:space="preserve"> </w:t>
          </w:r>
          <w:r w:rsidRPr="0090517B">
            <w:rPr>
              <w:sz w:val="20"/>
            </w:rPr>
            <w:t>Region Halland</w:t>
          </w:r>
        </w:p>
      </w:tc>
      <w:tc>
        <w:tcPr>
          <w:tcW w:w="4508" w:type="dxa"/>
        </w:tcPr>
        <w:p w:rsidR="00A82C54" w:rsidP="00E219F1" w:rsidRDefault="00BF3020" w14:paraId="0EBD33FC" w14:textId="77777777">
          <w:pPr>
            <w:pStyle w:val="Sidhuvud"/>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BF3020"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BF3020"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CB31E0"/>
    <w:multiLevelType w:val="hybridMultilevel"/>
    <w:tmpl w:val="2D7AF400"/>
    <w:lvl w:ilvl="0" w:tplc="3DAAF06C">
      <w:start w:val="1"/>
      <w:numFmt w:val="bullet"/>
      <w:lvlText w:val=""/>
      <w:lvlJc w:val="left"/>
      <w:pPr>
        <w:ind w:left="720" w:hanging="360"/>
      </w:pPr>
      <w:rPr>
        <w:rFonts w:ascii="Symbol" w:hAnsi="Symbol" w:hint="default"/>
      </w:rPr>
    </w:lvl>
    <w:lvl w:ilvl="1" w:tplc="1B7EF984">
      <w:start w:val="1"/>
      <w:numFmt w:val="bullet"/>
      <w:lvlText w:val="o"/>
      <w:lvlJc w:val="left"/>
      <w:pPr>
        <w:ind w:left="1440" w:hanging="360"/>
      </w:pPr>
      <w:rPr>
        <w:rFonts w:ascii="Courier New" w:hAnsi="Courier New" w:hint="default"/>
      </w:rPr>
    </w:lvl>
    <w:lvl w:ilvl="2" w:tplc="D5023EB2">
      <w:start w:val="1"/>
      <w:numFmt w:val="bullet"/>
      <w:lvlText w:val=""/>
      <w:lvlJc w:val="left"/>
      <w:pPr>
        <w:ind w:left="2160" w:hanging="360"/>
      </w:pPr>
      <w:rPr>
        <w:rFonts w:ascii="Wingdings" w:hAnsi="Wingdings" w:hint="default"/>
      </w:rPr>
    </w:lvl>
    <w:lvl w:ilvl="3" w:tplc="9BC8C3D8">
      <w:start w:val="1"/>
      <w:numFmt w:val="bullet"/>
      <w:lvlText w:val=""/>
      <w:lvlJc w:val="left"/>
      <w:pPr>
        <w:ind w:left="2880" w:hanging="360"/>
      </w:pPr>
      <w:rPr>
        <w:rFonts w:ascii="Symbol" w:hAnsi="Symbol" w:hint="default"/>
      </w:rPr>
    </w:lvl>
    <w:lvl w:ilvl="4" w:tplc="D7DE0A90">
      <w:start w:val="1"/>
      <w:numFmt w:val="bullet"/>
      <w:lvlText w:val="o"/>
      <w:lvlJc w:val="left"/>
      <w:pPr>
        <w:ind w:left="3600" w:hanging="360"/>
      </w:pPr>
      <w:rPr>
        <w:rFonts w:ascii="Courier New" w:hAnsi="Courier New" w:hint="default"/>
      </w:rPr>
    </w:lvl>
    <w:lvl w:ilvl="5" w:tplc="75141CE0">
      <w:start w:val="1"/>
      <w:numFmt w:val="bullet"/>
      <w:lvlText w:val=""/>
      <w:lvlJc w:val="left"/>
      <w:pPr>
        <w:ind w:left="4320" w:hanging="360"/>
      </w:pPr>
      <w:rPr>
        <w:rFonts w:ascii="Wingdings" w:hAnsi="Wingdings" w:hint="default"/>
      </w:rPr>
    </w:lvl>
    <w:lvl w:ilvl="6" w:tplc="277E7EF4">
      <w:start w:val="1"/>
      <w:numFmt w:val="bullet"/>
      <w:lvlText w:val=""/>
      <w:lvlJc w:val="left"/>
      <w:pPr>
        <w:ind w:left="5040" w:hanging="360"/>
      </w:pPr>
      <w:rPr>
        <w:rFonts w:ascii="Symbol" w:hAnsi="Symbol" w:hint="default"/>
      </w:rPr>
    </w:lvl>
    <w:lvl w:ilvl="7" w:tplc="CCC2BC52">
      <w:start w:val="1"/>
      <w:numFmt w:val="bullet"/>
      <w:lvlText w:val="o"/>
      <w:lvlJc w:val="left"/>
      <w:pPr>
        <w:ind w:left="5760" w:hanging="360"/>
      </w:pPr>
      <w:rPr>
        <w:rFonts w:ascii="Courier New" w:hAnsi="Courier New" w:hint="default"/>
      </w:rPr>
    </w:lvl>
    <w:lvl w:ilvl="8" w:tplc="0BD40554">
      <w:start w:val="1"/>
      <w:numFmt w:val="bullet"/>
      <w:lvlText w:val=""/>
      <w:lvlJc w:val="left"/>
      <w:pPr>
        <w:ind w:left="6480" w:hanging="360"/>
      </w:pPr>
      <w:rPr>
        <w:rFonts w:ascii="Wingdings" w:hAnsi="Wingdings" w:hint="default"/>
      </w:rPr>
    </w:lvl>
  </w:abstractNum>
  <w:abstractNum w:abstractNumId="3"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6" w15:restartNumberingAfterBreak="0">
    <w:nsid w:val="48302A22"/>
    <w:multiLevelType w:val="hybridMultilevel"/>
    <w:tmpl w:val="3EFE0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345010348">
    <w:abstractNumId w:val="10"/>
  </w:num>
  <w:num w:numId="2" w16cid:durableId="818576288">
    <w:abstractNumId w:val="12"/>
  </w:num>
  <w:num w:numId="3" w16cid:durableId="1114641315">
    <w:abstractNumId w:val="11"/>
  </w:num>
  <w:num w:numId="4" w16cid:durableId="1618215720">
    <w:abstractNumId w:val="3"/>
  </w:num>
  <w:num w:numId="5" w16cid:durableId="1506093539">
    <w:abstractNumId w:val="5"/>
  </w:num>
  <w:num w:numId="6" w16cid:durableId="195704155">
    <w:abstractNumId w:val="9"/>
  </w:num>
  <w:num w:numId="7" w16cid:durableId="1554074362">
    <w:abstractNumId w:val="1"/>
  </w:num>
  <w:num w:numId="8" w16cid:durableId="693533590">
    <w:abstractNumId w:val="7"/>
  </w:num>
  <w:num w:numId="9" w16cid:durableId="1080639861">
    <w:abstractNumId w:val="8"/>
  </w:num>
  <w:num w:numId="10" w16cid:durableId="2118671987">
    <w:abstractNumId w:val="4"/>
  </w:num>
  <w:num w:numId="11" w16cid:durableId="1126896586">
    <w:abstractNumId w:val="0"/>
  </w:num>
  <w:num w:numId="12" w16cid:durableId="2129935590">
    <w:abstractNumId w:val="2"/>
  </w:num>
  <w:num w:numId="13" w16cid:durableId="2069258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636E3"/>
    <w:rsid w:val="00071C4D"/>
    <w:rsid w:val="00087B68"/>
    <w:rsid w:val="00096A70"/>
    <w:rsid w:val="000B0C89"/>
    <w:rsid w:val="00167844"/>
    <w:rsid w:val="0018206E"/>
    <w:rsid w:val="001D049C"/>
    <w:rsid w:val="00225E0B"/>
    <w:rsid w:val="00246F62"/>
    <w:rsid w:val="00271080"/>
    <w:rsid w:val="002D0241"/>
    <w:rsid w:val="002D4C8B"/>
    <w:rsid w:val="002E0A96"/>
    <w:rsid w:val="00332D94"/>
    <w:rsid w:val="003A2FF6"/>
    <w:rsid w:val="003C5B41"/>
    <w:rsid w:val="003D2710"/>
    <w:rsid w:val="003D2D76"/>
    <w:rsid w:val="003E537C"/>
    <w:rsid w:val="00406C20"/>
    <w:rsid w:val="004223A0"/>
    <w:rsid w:val="004625ED"/>
    <w:rsid w:val="00485501"/>
    <w:rsid w:val="004A4717"/>
    <w:rsid w:val="004B5342"/>
    <w:rsid w:val="005140DE"/>
    <w:rsid w:val="005B17E9"/>
    <w:rsid w:val="005D151B"/>
    <w:rsid w:val="0061059F"/>
    <w:rsid w:val="00614116"/>
    <w:rsid w:val="00633C84"/>
    <w:rsid w:val="00647E41"/>
    <w:rsid w:val="006534D8"/>
    <w:rsid w:val="00692E84"/>
    <w:rsid w:val="00693B29"/>
    <w:rsid w:val="00696200"/>
    <w:rsid w:val="006C4A08"/>
    <w:rsid w:val="006F25B0"/>
    <w:rsid w:val="00713D71"/>
    <w:rsid w:val="0074069B"/>
    <w:rsid w:val="0075659A"/>
    <w:rsid w:val="008018BE"/>
    <w:rsid w:val="008160E0"/>
    <w:rsid w:val="008520E1"/>
    <w:rsid w:val="008B373F"/>
    <w:rsid w:val="00903BFD"/>
    <w:rsid w:val="00910FDD"/>
    <w:rsid w:val="00935632"/>
    <w:rsid w:val="00940ED2"/>
    <w:rsid w:val="00976C47"/>
    <w:rsid w:val="009806F9"/>
    <w:rsid w:val="009872EE"/>
    <w:rsid w:val="009D5FFA"/>
    <w:rsid w:val="009F0D84"/>
    <w:rsid w:val="009F76CD"/>
    <w:rsid w:val="00A33719"/>
    <w:rsid w:val="00AB0079"/>
    <w:rsid w:val="00AB14D2"/>
    <w:rsid w:val="00B2523E"/>
    <w:rsid w:val="00B43E1D"/>
    <w:rsid w:val="00B91D99"/>
    <w:rsid w:val="00BA2335"/>
    <w:rsid w:val="00BD0566"/>
    <w:rsid w:val="00BD31C6"/>
    <w:rsid w:val="00BF3020"/>
    <w:rsid w:val="00C1580D"/>
    <w:rsid w:val="00C17F9A"/>
    <w:rsid w:val="00C43323"/>
    <w:rsid w:val="00CB3BB1"/>
    <w:rsid w:val="00CC0153"/>
    <w:rsid w:val="00CE5E00"/>
    <w:rsid w:val="00D67040"/>
    <w:rsid w:val="00DD12E6"/>
    <w:rsid w:val="00DF0FCA"/>
    <w:rsid w:val="00E03E34"/>
    <w:rsid w:val="00E71832"/>
    <w:rsid w:val="00E83A80"/>
    <w:rsid w:val="00EA3323"/>
    <w:rsid w:val="00EB21F3"/>
    <w:rsid w:val="00F01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3D30B"/>
  <w15:docId w15:val="{0087B439-FA99-44C6-BB69-27E19E87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1"/>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paragraph" w:customStyle="1" w:styleId="Brdtext31">
    <w:name w:val="Brödtext 31"/>
    <w:basedOn w:val="Normal"/>
    <w:rsid w:val="006F25B0"/>
    <w:pPr>
      <w:jc w:val="center"/>
    </w:pPr>
    <w:rPr>
      <w:rFonts w:ascii="New York" w:hAnsi="New York" w:cs="Times New Roman"/>
      <w:b/>
      <w:sz w:val="32"/>
      <w:szCs w:val="20"/>
    </w:rPr>
  </w:style>
  <w:style w:type="character" w:styleId="Platshllartext">
    <w:name w:val="Placeholder Text"/>
    <w:basedOn w:val="Standardstycketeckensnitt"/>
    <w:uiPriority w:val="99"/>
    <w:semiHidden/>
    <w:rsid w:val="00096A70"/>
    <w:rPr>
      <w:color w:val="808080"/>
    </w:rPr>
  </w:style>
  <w:style w:type="character" w:customStyle="1" w:styleId="SidfotChar1">
    <w:name w:val="Sidfot Char1"/>
    <w:uiPriority w:val="99"/>
    <w:rsid w:val="00633C84"/>
  </w:style>
  <w:style w:type="character" w:customStyle="1" w:styleId="BallongtextChar1">
    <w:name w:val="Ballongtext Char1"/>
    <w:rsid w:val="009F76CD"/>
    <w:rPr>
      <w:rFonts w:ascii="Tahoma" w:hAnsi="Tahoma" w:cs="Tahoma"/>
      <w:sz w:val="16"/>
      <w:szCs w:val="16"/>
    </w:rPr>
  </w:style>
  <w:style w:type="character" w:customStyle="1" w:styleId="RubrikChar1">
    <w:name w:val="Rubrik Char1"/>
    <w:rsid w:val="00E71832"/>
    <w:rPr>
      <w:rFonts w:ascii="Arial" w:hAnsi="Arial" w:cs="Arial"/>
      <w:b/>
      <w:sz w:val="32"/>
      <w:szCs w:val="40"/>
    </w:rPr>
  </w:style>
  <w:style w:type="character" w:customStyle="1" w:styleId="Rubrik1Char">
    <w:name w:val="Rubrik 1 Char"/>
    <w:basedOn w:val="Standardstycketeckensnitt"/>
    <w:rsid w:val="00A479E9"/>
    <w:rPr>
      <w:rFonts w:ascii="Arial" w:eastAsia="Calibri" w:hAnsi="Arial" w:cs="Arial"/>
      <w:b/>
      <w:sz w:val="26"/>
      <w:szCs w:val="28"/>
      <w:lang w:eastAsia="en-US"/>
    </w:rPr>
  </w:style>
  <w:style w:type="character" w:customStyle="1" w:styleId="SidhuvudChar">
    <w:name w:val="Sidhuvud Char"/>
    <w:basedOn w:val="Standardstycketeckensnitt"/>
    <w:uiPriority w:val="99"/>
    <w:rsid w:val="00E219F1"/>
    <w:rPr>
      <w:rFonts w:ascii="Arial" w:hAnsi="Arial" w:cs="Arial"/>
      <w:sz w:val="22"/>
      <w:szCs w:val="26"/>
    </w:rPr>
  </w:style>
  <w:style w:type="character" w:customStyle="1" w:styleId="SidfotChar2">
    <w:name w:val="Sidfot Char2"/>
    <w:link w:val="Sidfot"/>
    <w:uiPriority w:val="99"/>
    <w:rsid w:val="00633C84"/>
  </w:style>
  <w:style w:type="character" w:customStyle="1" w:styleId="BallongtextChar2">
    <w:name w:val="Ballongtext Char2"/>
    <w:link w:val="Ballongtext"/>
    <w:rsid w:val="009F76CD"/>
    <w:rPr>
      <w:rFonts w:ascii="Tahoma" w:hAnsi="Tahoma" w:cs="Tahoma"/>
      <w:sz w:val="16"/>
      <w:szCs w:val="16"/>
    </w:rPr>
  </w:style>
  <w:style w:type="character" w:customStyle="1" w:styleId="RubrikChar2">
    <w:name w:val="Rubrik Char2"/>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SidhuvudChar1">
    <w:name w:val="Sidhuvud Char1"/>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ssth.se/wp-content/uploads/2021/11/NOAK-211109.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tyrt dokument" ma:contentTypeID="0x010100712126A1D83E5D4F9093707A62EF18DE00022F86C4437B894C9F7107D61458B727" ma:contentTypeVersion="28" ma:contentTypeDescription="Skapa ett nytt styrd dokument." ma:contentTypeScope="" ma:versionID="eb296c29478c2bf04086fd6346d573d0">
  <xsd:schema xmlns:xsd="http://www.w3.org/2001/XMLSchema" xmlns:xs="http://www.w3.org/2001/XMLSchema" xmlns:p="http://schemas.microsoft.com/office/2006/metadata/properties" xmlns:ns2="d7020d13-187d-4fc8-9816-bd01783b86ee" xmlns:ns3="a97f9b0c-1ea2-4ed0-8c65-79406306dd43" targetNamespace="http://schemas.microsoft.com/office/2006/metadata/properties" ma:root="true" ma:fieldsID="f371625f4051f494a97456b88b3301b6" ns2:_="" ns3:_="">
    <xsd:import namespace="d7020d13-187d-4fc8-9816-bd01783b86ee"/>
    <xsd:import namespace="a97f9b0c-1ea2-4ed0-8c65-79406306dd43"/>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0849bedd3a249eb9d115151127e3d17" minOccurs="0"/>
                <xsd:element ref="ns2:TaxCatchAllLabel" minOccurs="0"/>
                <xsd:element ref="ns2:kf1301b668f444f7a4ebe1a6240553c9" minOccurs="0"/>
                <xsd:element ref="ns2:h6ab2a5abff6404c9593f35621273eff" minOccurs="0"/>
                <xsd:element ref="ns2:n434ae7090044749a7747789e02b7a77" minOccurs="0"/>
                <xsd:element ref="ns2:p1e9ccd9b20d4fab85d74672db66e676"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8"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e1a08d5f-edef-4312-898a-d6d3c9f46207}"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0849bedd3a249eb9d115151127e3d17" ma:index="33" nillable="true" ma:taxonomy="true" ma:internalName="e0849bedd3a249eb9d115151127e3d17" ma:taxonomyFieldName="RHI_ApprovedRole" ma:displayName="Fastställanderoll" ma:readOnly="true" ma:fieldId="{e0849bed-d3a2-49eb-9d11-5151127e3d17}"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e1a08d5f-edef-4312-898a-d6d3c9f46207}"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kf1301b668f444f7a4ebe1a6240553c9" ma:index="35" nillable="true" ma:taxonomy="true" ma:internalName="kf1301b668f444f7a4ebe1a6240553c9" ma:taxonomyFieldName="RHI_MeSHMulti" ma:displayName="Medicinsk term" ma:readOnly="false" ma:fieldId="{4f1301b6-68f4-44f7-a4eb-e1a6240553c9}"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h6ab2a5abff6404c9593f35621273eff" ma:index="36" nillable="true" ma:taxonomy="true" ma:internalName="h6ab2a5abff6404c9593f35621273eff" ma:taxonomyFieldName="RHI_KeywordsMulti" ma:displayName="Nyckelord" ma:readOnly="false" ma:fieldId="{16ab2a5a-bff6-404c-9593-f35621273eff}"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n434ae7090044749a7747789e02b7a77" ma:index="37" nillable="true" ma:taxonomy="true" ma:internalName="n434ae7090044749a7747789e02b7a77" ma:taxonomyFieldName="RHI_MSChapter" ma:displayName="Kapitel" ma:readOnly="false" ma:fieldId="{7434ae70-9004-4749-a774-7789e02b7a77}"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p1e9ccd9b20d4fab85d74672db66e676" ma:index="38" ma:taxonomy="true" ma:internalName="p1e9ccd9b20d4fab85d74672db66e676" ma:taxonomyFieldName="RHI_AppliesToOrganizationMulti" ma:displayName="Gäller för" ma:readOnly="false" ma:fieldId="{91e9ccd9-b20d-4fab-85d7-4672db66e676}"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7f9b0c-1ea2-4ed0-8c65-79406306dd43"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d7020d13-187d-4fc8-9816-bd01783b86ee">
      <Value>82</Value>
      <Value>13</Value>
      <Value>129</Value>
      <Value>213</Value>
      <Value>9</Value>
      <Value>3</Value>
      <Value>18</Value>
    </TaxCatchAll>
    <FSCD_DocumentTypeTags xmlns="a97f9b0c-1ea2-4ed0-8c65-79406306dd43">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p1e9ccd9b20d4fab85d74672db66e676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p1e9ccd9b20d4fab85d74672db66e676>
    <FSCD_DocumentOwner xmlns="d7020d13-187d-4fc8-9816-bd01783b86ee">
      <UserInfo>
        <DisplayName>Sinkjaer Sköld Edna RK</DisplayName>
        <AccountId>41</AccountId>
        <AccountType/>
      </UserInfo>
    </FSCD_DocumentOwner>
    <h6ab2a5abff6404c9593f35621273eff xmlns="d7020d13-187d-4fc8-9816-bd01783b86ee">
      <Terms xmlns="http://schemas.microsoft.com/office/infopath/2007/PartnerControls">
        <TermInfo xmlns="http://schemas.microsoft.com/office/infopath/2007/PartnerControls">
          <TermName xmlns="http://schemas.microsoft.com/office/infopath/2007/PartnerControls">Läkemedel</TermName>
          <TermId xmlns="http://schemas.microsoft.com/office/infopath/2007/PartnerControls">09c10964-c0c3-4353-81ca-3b60364e9927</TermId>
        </TermInfo>
        <TermInfo xmlns="http://schemas.microsoft.com/office/infopath/2007/PartnerControls">
          <TermName xmlns="http://schemas.microsoft.com/office/infopath/2007/PartnerControls">NCS Läkemedelsmodul</TermName>
          <TermId xmlns="http://schemas.microsoft.com/office/infopath/2007/PartnerControls">ace1266a-7f1d-49a1-97cf-63bd15534611</TermId>
        </TermInfo>
        <TermInfo xmlns="http://schemas.microsoft.com/office/infopath/2007/PartnerControls">
          <TermName xmlns="http://schemas.microsoft.com/office/infopath/2007/PartnerControls">Perioperativa förberedelser</TermName>
          <TermId xmlns="http://schemas.microsoft.com/office/infopath/2007/PartnerControls">27b26601-c4db-46ae-b90f-978b23d930c1</TermId>
        </TermInfo>
      </Terms>
    </h6ab2a5abff6404c9593f35621273eff>
    <kf1301b668f444f7a4ebe1a6240553c9 xmlns="d7020d13-187d-4fc8-9816-bd01783b86ee">
      <Terms xmlns="http://schemas.microsoft.com/office/infopath/2007/PartnerControls"/>
    </kf1301b668f444f7a4ebe1a6240553c9>
    <RHI_AppliesToOrganizationString xmlns="d7020d13-187d-4fc8-9816-bd01783b86ee">Region Halland</RHI_AppliesToOrganizationString>
    <n434ae7090044749a7747789e02b7a77 xmlns="d7020d13-187d-4fc8-9816-bd01783b86ee">
      <Terms xmlns="http://schemas.microsoft.com/office/infopath/2007/PartnerControls">
        <TermInfo xmlns="http://schemas.microsoft.com/office/infopath/2007/PartnerControls">
          <TermName xmlns="http://schemas.microsoft.com/office/infopath/2007/PartnerControls">301. Verksamhet och processer / Patient</TermName>
          <TermId xmlns="http://schemas.microsoft.com/office/infopath/2007/PartnerControls">84526150-edc8-4087-b73c-996e0eb8b0a1</TermId>
        </TermInfo>
      </Terms>
    </n434ae7090044749a7747789e02b7a77>
    <RHI_ReviewersMulti xmlns="d7020d13-187d-4fc8-9816-bd01783b86ee">
      <UserInfo>
        <DisplayName/>
        <AccountId xsi:nil="true"/>
        <AccountType/>
      </UserInfo>
    </RHI_ReviewersMulti>
    <FSCD_DocumentIssuer xmlns="d7020d13-187d-4fc8-9816-bd01783b86ee">
      <UserInfo>
        <DisplayName>Redaktör RH</DisplayName>
        <AccountId>50</AccountId>
        <AccountType/>
      </UserInfo>
    </FSCD_DocumentIssuer>
    <RHI_CoAuthorsMulti xmlns="d7020d13-187d-4fc8-9816-bd01783b86ee">
      <UserInfo>
        <DisplayName>117</DisplayName>
        <AccountId>117</AccountId>
        <AccountType/>
      </UserInfo>
    </RHI_CoAuthorsMulti>
    <FSCD_PublishingInfo xmlns="d7020d13-187d-4fc8-9816-bd01783b86ee">Publicerad</FSCD_PublishingInfo>
    <e0849bedd3a249eb9d115151127e3d17 xmlns="d7020d13-187d-4fc8-9816-bd01783b86ee">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e0849bedd3a249eb9d115151127e3d17>
    <RHI_ApproverDisplay xmlns="d7020d13-187d-4fc8-9816-bd01783b86ee">Regional samordnande chefläkare</RHI_ApproverDisplay>
    <RHI_ApprovedDate xmlns="d7020d13-187d-4fc8-9816-bd01783b86ee">2014-11-09T23:00:00+00:00</RHI_ApprovedDate>
    <FSCD_Source xmlns="d7020d13-187d-4fc8-9816-bd01783b86ee">92a44bcc-de74-480a-987b-0f08d5337d44#e79df2dc-2a29-408a-a817-2f5ed3f46219</FSCD_Source>
    <FSCD_DocumentEdition xmlns="d7020d13-187d-4fc8-9816-bd01783b86ee">2</FSCD_DocumentEdition>
    <FSCD_ApprovedBy xmlns="d7020d13-187d-4fc8-9816-bd01783b86ee">
      <UserInfo>
        <DisplayName/>
        <AccountId>30</AccountId>
        <AccountType/>
      </UserInfo>
    </FSCD_ApprovedBy>
    <FSCD_DocumentId xmlns="d7020d13-187d-4fc8-9816-bd01783b86ee">049a8298-6aa9-47e3-abd0-4ef652095549</FSCD_DocumentId>
    <FSCD_IsPublished xmlns="d7020d13-187d-4fc8-9816-bd01783b86ee">2.0</FSCD_IsPublished>
    <PublishingExpirationDate xmlns="a97f9b0c-1ea2-4ed0-8c65-79406306dd43" xsi:nil="true"/>
    <PublishingStartDate xmlns="a97f9b0c-1ea2-4ed0-8c65-79406306dd43" xsi:nil="true"/>
    <RHI_CD_Classification xmlns="d7020d13-187d-4fc8-9816-bd01783b86ee">1</RHI_CD_Classification>
    <RHI_ApprovedDate_Temp xmlns="a97f9b0c-1ea2-4ed0-8c65-79406306dd43">2014-11-09T23:00:00+00:00</RHI_ApprovedDate_Temp>
    <RHI_ApproverDisplay_Temp xmlns="a97f9b0c-1ea2-4ed0-8c65-79406306dd43">Regional samordnande chefläkare</RHI_ApproverDisplay_Temp>
    <RHI_ApprovedRole_Temp xmlns="a97f9b0c-1ea2-4ed0-8c65-79406306dd43">Regional samordnande chefläkare</RHI_ApprovedRole_Temp>
    <FSCD_DocumentEdition_Temp xmlns="a97f9b0c-1ea2-4ed0-8c65-79406306dd43">2</FSCD_DocumentEdition_Temp>
    <FSCD_DocumentId_Temp xmlns="a97f9b0c-1ea2-4ed0-8c65-79406306dd43">049a8298-6aa9-47e3-abd0-4ef652095549</FSCD_DocumentId_Temp>
    <FSCD_ReviewReminder xmlns="d7020d13-187d-4fc8-9816-bd01783b86ee">12</FSCD_ReviewReminder>
  </documentManagement>
</p:properties>
</file>

<file path=customXml/itemProps1.xml><?xml version="1.0" encoding="utf-8"?>
<ds:datastoreItem xmlns:ds="http://schemas.openxmlformats.org/officeDocument/2006/customXml" ds:itemID="{56EE44BF-56A8-4388-B416-4E827C1C6FB0}">
  <ds:schemaRefs>
    <ds:schemaRef ds:uri="http://schemas.openxmlformats.org/officeDocument/2006/bibliography"/>
  </ds:schemaRefs>
</ds:datastoreItem>
</file>

<file path=customXml/itemProps2.xml><?xml version="1.0" encoding="utf-8"?>
<ds:datastoreItem xmlns:ds="http://schemas.openxmlformats.org/officeDocument/2006/customXml" ds:itemID="{AC4735F9-A85C-4716-B417-C7D200F83D18}">
  <ds:schemaRefs>
    <ds:schemaRef ds:uri="http://schemas.microsoft.com/office/2006/metadata/customXsn"/>
  </ds:schemaRefs>
</ds:datastoreItem>
</file>

<file path=customXml/itemProps3.xml><?xml version="1.0" encoding="utf-8"?>
<ds:datastoreItem xmlns:ds="http://schemas.openxmlformats.org/officeDocument/2006/customXml" ds:itemID="{73A96697-BECF-44E9-962D-D7A08215E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a97f9b0c-1ea2-4ed0-8c65-79406306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5.xml><?xml version="1.0" encoding="utf-8"?>
<ds:datastoreItem xmlns:ds="http://schemas.openxmlformats.org/officeDocument/2006/customXml" ds:itemID="{73C6A869-F032-41F2-B112-37A19C979E2F}">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 ds:uri="d7020d13-187d-4fc8-9816-bd01783b86ee"/>
    <ds:schemaRef ds:uri="http://purl.org/dc/dcmitype/"/>
    <ds:schemaRef ds:uri="http://schemas.microsoft.com/office/infopath/2007/PartnerControls"/>
    <ds:schemaRef ds:uri="a97f9b0c-1ea2-4ed0-8c65-79406306dd43"/>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1109</Words>
  <Characters>5879</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Rutin</vt:lpstr>
      <vt:lpstr>Innehållsmall styrda dokument (grunddokument)</vt:lpstr>
    </vt:vector>
  </TitlesOfParts>
  <Company>Microsoft</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Läkemedel - Perorala antikoagulantia i samband med operationer - handläggning</dc:title>
  <dc:creator>Kange Ingela RGS FORV</dc:creator>
  <cp:lastModifiedBy>Andersson Petra RK HÄLSO- OCH SJUKVÅRD</cp:lastModifiedBy>
  <cp:revision>7</cp:revision>
  <cp:lastPrinted>2013-06-04T11:54:00Z</cp:lastPrinted>
  <dcterms:created xsi:type="dcterms:W3CDTF">2014-10-27T13:33:00Z</dcterms:created>
  <dcterms:modified xsi:type="dcterms:W3CDTF">2023-06-16T10:58:00Z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0x010100712126A1D83E5D4F9093707A62EF18DE00022F86C4437B894C9F7107D61458B727</vt:lpwstr>
  </property>
  <property fmtid="{D5CDD505-2E9C-101B-9397-08002B2CF9AE}" pid="3" name="FSCD_DocumentType">
    <vt:lpwstr>9;#Rutin|3ecd4889-b546-4b08-8daf-345ed6a301ab</vt:lpwstr>
  </property>
  <property fmtid="{D5CDD505-2E9C-101B-9397-08002B2CF9AE}" pid="4" name="RHI_MSChapter">
    <vt:lpwstr>18;#301. Verksamhet och processer / Patient|84526150-edc8-4087-b73c-996e0eb8b0a1</vt:lpwstr>
  </property>
  <property fmtid="{D5CDD505-2E9C-101B-9397-08002B2CF9AE}" pid="5" name="RHI_MeSHMulti">
    <vt:lpwstr/>
  </property>
  <property fmtid="{D5CDD505-2E9C-101B-9397-08002B2CF9AE}" pid="6" name="RHI_AppliesToOrganizationMulti">
    <vt:lpwstr>3;#Region Halland|d72d8b1f-b373-4815-ab51-a5608c837237</vt:lpwstr>
  </property>
  <property fmtid="{D5CDD505-2E9C-101B-9397-08002B2CF9AE}" pid="7" name="RHI_KeywordsMulti">
    <vt:lpwstr>82;#Läkemedel|09c10964-c0c3-4353-81ca-3b60364e9927;#129;#NCS Läkemedelsmodul|ace1266a-7f1d-49a1-97cf-63bd15534611;#213;#Perioperativa förberedelser|27b26601-c4db-46ae-b90f-978b23d930c1</vt:lpwstr>
  </property>
  <property fmtid="{D5CDD505-2E9C-101B-9397-08002B2CF9AE}" pid="8" name="RHI_ApprovedRole">
    <vt:lpwstr>13;#Regional samordnande chefläkare|bf85a382-4201-4521-b7f6-89f506dead7b</vt:lpwstr>
  </property>
  <property fmtid="{D5CDD505-2E9C-101B-9397-08002B2CF9AE}" pid="9" name="_dlc_DocIdItemGuid">
    <vt:lpwstr>049a8298-6aa9-47e3-abd0-4ef652095549</vt:lpwstr>
  </property>
  <property fmtid="{D5CDD505-2E9C-101B-9397-08002B2CF9AE}" pid="10" name="URL">
    <vt:lpwstr/>
  </property>
</Properties>
</file>