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EA3323" w:rsidRDefault="003F798A" w14:paraId="4577B710" w14:textId="76EF9D1B">
      <w:r>
        <w:rPr>
          <w:color w:val="000000"/>
          <w:sz w:val="27"/>
          <w:szCs w:val="27"/>
        </w:rPr>
        <w:t>Vaccination mot säsongsinfluensa</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9F2294" w:rsidRDefault="008160E0" w14:paraId="676B17DF" w14:textId="66711EA4">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7830893">
        <w:r w:rsidRPr="00BE55A0" w:rsidR="009F2294">
          <w:rPr>
            <w:rStyle w:val="Hyperlnk"/>
          </w:rPr>
          <w:t>Bakgrund och syfte</w:t>
        </w:r>
      </w:hyperlink>
    </w:p>
    <w:p w:rsidR="009F2294" w:rsidRDefault="00000000" w14:paraId="127FB2F6" w14:textId="5A6F7AD1">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894">
        <w:r w:rsidRPr="00BE55A0" w:rsidR="009F2294">
          <w:rPr>
            <w:rStyle w:val="Hyperlnk"/>
          </w:rPr>
          <w:t>Vaccinationskampanj 2023/2024</w:t>
        </w:r>
      </w:hyperlink>
    </w:p>
    <w:p w:rsidR="009F2294" w:rsidRDefault="00000000" w14:paraId="48013EE4" w14:textId="5F80BF3B">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895">
        <w:r w:rsidRPr="00BE55A0" w:rsidR="009F2294">
          <w:rPr>
            <w:rStyle w:val="Hyperlnk"/>
          </w:rPr>
          <w:t>Vaccin, riskgrupper och rekommendationer</w:t>
        </w:r>
      </w:hyperlink>
    </w:p>
    <w:p w:rsidR="009F2294" w:rsidRDefault="00000000" w14:paraId="72D67B27" w14:textId="39487134">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896">
        <w:r w:rsidRPr="00BE55A0" w:rsidR="009F2294">
          <w:rPr>
            <w:rStyle w:val="Hyperlnk"/>
          </w:rPr>
          <w:t>Vaccinförsörjning</w:t>
        </w:r>
      </w:hyperlink>
    </w:p>
    <w:p w:rsidR="009F2294" w:rsidRDefault="00000000" w14:paraId="293F8E91" w14:textId="435A269E">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897">
        <w:r w:rsidRPr="00BE55A0" w:rsidR="009F2294">
          <w:rPr>
            <w:rStyle w:val="Hyperlnk"/>
          </w:rPr>
          <w:t>Beställning vaccin</w:t>
        </w:r>
      </w:hyperlink>
    </w:p>
    <w:p w:rsidR="009F2294" w:rsidRDefault="00000000" w14:paraId="064D0CD9" w14:textId="2E9C66ED">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898">
        <w:r w:rsidRPr="00BE55A0" w:rsidR="009F2294">
          <w:rPr>
            <w:rStyle w:val="Hyperlnk"/>
          </w:rPr>
          <w:t>Vaccination- utförande i olika grupper</w:t>
        </w:r>
      </w:hyperlink>
    </w:p>
    <w:p w:rsidR="009F2294" w:rsidRDefault="00000000" w14:paraId="54F28ED6" w14:textId="5262F69A">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899">
        <w:r w:rsidRPr="00BE55A0" w:rsidR="009F2294">
          <w:rPr>
            <w:rStyle w:val="Hyperlnk"/>
          </w:rPr>
          <w:t>Hemsjukvård</w:t>
        </w:r>
      </w:hyperlink>
    </w:p>
    <w:p w:rsidR="009F2294" w:rsidRDefault="00000000" w14:paraId="785E95CF" w14:textId="1710202D">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00">
        <w:r w:rsidRPr="00BE55A0" w:rsidR="009F2294">
          <w:rPr>
            <w:rStyle w:val="Hyperlnk"/>
          </w:rPr>
          <w:t>Bokning</w:t>
        </w:r>
      </w:hyperlink>
    </w:p>
    <w:p w:rsidR="009F2294" w:rsidRDefault="00000000" w14:paraId="5FA61FE2" w14:textId="37DB56DC">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01">
        <w:r w:rsidRPr="00BE55A0" w:rsidR="009F2294">
          <w:rPr>
            <w:rStyle w:val="Hyperlnk"/>
          </w:rPr>
          <w:t>Dokumentation</w:t>
        </w:r>
      </w:hyperlink>
    </w:p>
    <w:p w:rsidR="009F2294" w:rsidRDefault="00000000" w14:paraId="0321FA58" w14:textId="395616DC">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02">
        <w:r w:rsidRPr="00BE55A0" w:rsidR="009F2294">
          <w:rPr>
            <w:rStyle w:val="Hyperlnk"/>
          </w:rPr>
          <w:t>Uppföljning av vaccinationsinsatsen</w:t>
        </w:r>
      </w:hyperlink>
    </w:p>
    <w:p w:rsidR="009F2294" w:rsidRDefault="00000000" w14:paraId="498DC242" w14:textId="44EF3A68">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03">
        <w:r w:rsidRPr="00BE55A0" w:rsidR="009F2294">
          <w:rPr>
            <w:rStyle w:val="Hyperlnk"/>
            <w:rFonts w:eastAsia="Arial"/>
          </w:rPr>
          <w:t>Patientavgifter och ekonomi</w:t>
        </w:r>
      </w:hyperlink>
    </w:p>
    <w:p w:rsidR="009F2294" w:rsidRDefault="00000000" w14:paraId="5E6231F9" w14:textId="32F52747">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04">
        <w:r w:rsidRPr="00BE55A0" w:rsidR="009F2294">
          <w:rPr>
            <w:rStyle w:val="Hyperlnk"/>
          </w:rPr>
          <w:t>Ordination, delegation och behörighet att administrera vaccin</w:t>
        </w:r>
      </w:hyperlink>
    </w:p>
    <w:p w:rsidR="009F2294" w:rsidRDefault="00000000" w14:paraId="7823FFAF" w14:textId="053AC64A">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05">
        <w:r w:rsidRPr="00BE55A0" w:rsidR="009F2294">
          <w:rPr>
            <w:rStyle w:val="Hyperlnk"/>
          </w:rPr>
          <w:t>Ordination</w:t>
        </w:r>
      </w:hyperlink>
    </w:p>
    <w:p w:rsidR="009F2294" w:rsidRDefault="00000000" w14:paraId="1814E1CD" w14:textId="3619B28D">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06">
        <w:r w:rsidRPr="00BE55A0" w:rsidR="009F2294">
          <w:rPr>
            <w:rStyle w:val="Hyperlnk"/>
          </w:rPr>
          <w:t>Vårdhygien</w:t>
        </w:r>
      </w:hyperlink>
    </w:p>
    <w:p w:rsidR="009F2294" w:rsidRDefault="00000000" w14:paraId="74272772" w14:textId="411DD58C">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07">
        <w:r w:rsidRPr="00BE55A0" w:rsidR="009F2294">
          <w:rPr>
            <w:rStyle w:val="Hyperlnk"/>
          </w:rPr>
          <w:t>Vaccination vid behandling med antikoagulantia eller trombocythämmare</w:t>
        </w:r>
      </w:hyperlink>
    </w:p>
    <w:p w:rsidR="009F2294" w:rsidRDefault="00000000" w14:paraId="1D21468A" w14:textId="0CA85070">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08">
        <w:r w:rsidRPr="00BE55A0" w:rsidR="009F2294">
          <w:rPr>
            <w:rStyle w:val="Hyperlnk"/>
          </w:rPr>
          <w:t>Läkemedelsreaktioner</w:t>
        </w:r>
      </w:hyperlink>
    </w:p>
    <w:p w:rsidR="009F2294" w:rsidRDefault="00000000" w14:paraId="209BD501" w14:textId="37DB1F44">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09">
        <w:r w:rsidRPr="00BE55A0" w:rsidR="009F2294">
          <w:rPr>
            <w:rStyle w:val="Hyperlnk"/>
          </w:rPr>
          <w:t>Samvaccination med influensavaccin och andra vaccin, vuxna</w:t>
        </w:r>
      </w:hyperlink>
    </w:p>
    <w:p w:rsidR="009F2294" w:rsidRDefault="00000000" w14:paraId="15475C09" w14:textId="215D6E7D">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10">
        <w:r w:rsidRPr="00BE55A0" w:rsidR="009F2294">
          <w:rPr>
            <w:rStyle w:val="Hyperlnk"/>
          </w:rPr>
          <w:t>Kommunikation och utbildning</w:t>
        </w:r>
      </w:hyperlink>
    </w:p>
    <w:p w:rsidR="009F2294" w:rsidRDefault="00000000" w14:paraId="6DA2827C" w14:textId="5F42A157">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11">
        <w:r w:rsidRPr="00BE55A0" w:rsidR="009F2294">
          <w:rPr>
            <w:rStyle w:val="Hyperlnk"/>
          </w:rPr>
          <w:t>Referenser</w:t>
        </w:r>
      </w:hyperlink>
    </w:p>
    <w:p w:rsidR="009F2294" w:rsidRDefault="00000000" w14:paraId="0E74B840" w14:textId="6A52D9D2">
      <w:pPr>
        <w:pStyle w:val="Innehll1"/>
        <w:rPr>
          <w:rFonts w:asciiTheme="minorHAnsi" w:hAnsiTheme="minorHAnsi" w:eastAsiaTheme="minorEastAsia" w:cstheme="minorBidi"/>
          <w:color w:val="auto"/>
          <w:kern w:val="2"/>
          <w:sz w:val="22"/>
          <w:szCs w:val="22"/>
          <w:u w:val="none"/>
          <w14:ligatures w14:val="standardContextual"/>
        </w:rPr>
      </w:pPr>
      <w:hyperlink w:history="1" w:anchor="_Toc147830912">
        <w:r w:rsidRPr="00BE55A0" w:rsidR="009F2294">
          <w:rPr>
            <w:rStyle w:val="Hyperlnk"/>
          </w:rPr>
          <w:t>Uppdaterat från föregående version</w:t>
        </w:r>
      </w:hyperlink>
    </w:p>
    <w:p w:rsidR="008160E0" w:rsidP="00ED23D2" w:rsidRDefault="008160E0" w14:paraId="7A1FD0C7" w14:textId="2ECD23A0">
      <w:pPr>
        <w:pStyle w:val="Innehll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332D94" w:rsidRDefault="00EA3323" w14:paraId="6840A9E4" w14:textId="77777777"/>
    <w:p w:rsidR="009F2294" w:rsidP="009F2294" w:rsidRDefault="009F2294" w14:paraId="12B7BEAE" w14:textId="77777777">
      <w:pPr>
        <w:pStyle w:val="Rubrik1"/>
        <w:spacing w:before="240" w:after="240"/>
      </w:pPr>
      <w:bookmarkStart w:name="_Toc85206566" w:id="3"/>
      <w:bookmarkStart w:name="_Toc86646966" w:id="4"/>
      <w:bookmarkStart w:name="_Toc147759469" w:id="5"/>
      <w:bookmarkStart w:name="_Toc147830893" w:id="6"/>
      <w:r>
        <w:t>Bakgrund och syfte</w:t>
      </w:r>
      <w:bookmarkEnd w:id="3"/>
      <w:bookmarkEnd w:id="4"/>
      <w:bookmarkEnd w:id="5"/>
      <w:bookmarkEnd w:id="6"/>
      <w:r>
        <w:t xml:space="preserve"> </w:t>
      </w:r>
    </w:p>
    <w:p w:rsidR="009F2294" w:rsidP="009F2294" w:rsidRDefault="009F2294" w14:paraId="2E1AD947" w14:textId="77777777">
      <w:pPr>
        <w:spacing w:after="240"/>
        <w:rPr>
          <w:rFonts w:eastAsia="Arial"/>
        </w:rPr>
      </w:pPr>
      <w:r w:rsidRPr="71EDCDFF">
        <w:rPr>
          <w:rFonts w:eastAsia="Arial"/>
        </w:rPr>
        <w:t>Vaccination mot säsongsinfluensa genomförs årligen som en kampanj utifrån Folkhälsomyndighetens nationella rekommendationer. Syftet med kampanjen är att skapa uppmärksamhet för influensavaccinationen och ge saklig information för invånarens beslut om att låta vaccinera sig. Vaccination mot säsongsinfluensa ger invånarna skydd mot allvarlig sjukdom och död till följd av årligt återkommande spridning av influensavirus och hindra att smittspridningen utvecklas till epidemi eller pandemi.</w:t>
      </w:r>
    </w:p>
    <w:p w:rsidR="009F2294" w:rsidP="009F2294" w:rsidRDefault="009F2294" w14:paraId="570E37E2" w14:textId="77777777">
      <w:pPr>
        <w:spacing w:after="240"/>
        <w:rPr>
          <w:rFonts w:eastAsia="Arial"/>
        </w:rPr>
      </w:pPr>
      <w:r w:rsidRPr="71EDCDFF">
        <w:rPr>
          <w:rFonts w:eastAsia="Arial"/>
        </w:rPr>
        <w:t>Denna rutin beskriver vaccinationen mot säsongsinfluensa i Halland och riktar sig till samtliga vårdgivare verksamma i Halland inklusive kommunernas vårdgivare.</w:t>
      </w:r>
    </w:p>
    <w:p w:rsidRPr="00D61C09" w:rsidR="009F2294" w:rsidP="009F2294" w:rsidRDefault="009F2294" w14:paraId="5782B0B1" w14:textId="77777777">
      <w:pPr>
        <w:pStyle w:val="Rubrik1"/>
        <w:spacing w:before="240" w:after="240"/>
      </w:pPr>
      <w:bookmarkStart w:name="_Toc147759470" w:id="7"/>
      <w:bookmarkStart w:name="_Toc147830894" w:id="8"/>
      <w:r w:rsidRPr="00D61C09">
        <w:t>Vaccinationskampanj 2023/2024</w:t>
      </w:r>
      <w:bookmarkEnd w:id="7"/>
      <w:bookmarkEnd w:id="8"/>
    </w:p>
    <w:p w:rsidR="009F2294" w:rsidP="009F2294" w:rsidRDefault="009F2294" w14:paraId="4BC15D1A" w14:textId="77777777">
      <w:pPr>
        <w:spacing w:after="240"/>
        <w:textAlignment w:val="baseline"/>
        <w:rPr>
          <w:szCs w:val="22"/>
        </w:rPr>
      </w:pPr>
      <w:r w:rsidRPr="00D61C09">
        <w:rPr>
          <w:szCs w:val="22"/>
        </w:rPr>
        <w:t>Den nationella starten för säsongsinfluensavaccination är 7 november 2023. Under november månad prioriteras riskgrupper och övriga grupper som är rekommenderade vaccination mot influensa enligt Folkhälsomyndigheten. Parallellt med detta kan också vårdnära personal inom vård och omsorg erbjudas vaccination. Från december kan övriga invånare som önskar vaccination erbjudas detta. </w:t>
      </w:r>
      <w:r>
        <w:rPr>
          <w:szCs w:val="22"/>
        </w:rPr>
        <w:t xml:space="preserve"/>
      </w:r>
      <w:r w:rsidRPr="00D61C09">
        <w:rPr>
          <w:szCs w:val="22"/>
        </w:rPr>
        <w:t/>
      </w:r>
    </w:p>
    <w:p w:rsidRPr="00535410" w:rsidR="009F2294" w:rsidP="009F2294" w:rsidRDefault="009F2294" w14:paraId="541D9060" w14:textId="77777777">
      <w:pPr>
        <w:spacing w:after="240"/>
        <w:rPr>
          <w:rStyle w:val="normaltextrun"/>
          <w:szCs w:val="22"/>
        </w:rPr>
      </w:pPr>
      <w:r w:rsidRPr="00535410">
        <w:rPr>
          <w:rStyle w:val="normaltextrun"/>
          <w:szCs w:val="22"/>
        </w:rPr>
        <w:t xml:space="preserve">Vaccindoser bör sparas för vaccination av personer i medicinska riskgrupper som tillkommer senare under säsongen. Exempel på sådana grupper är gravida och personer som har nytillkommen medicinsk orsak (t ex nyinsatt immunsuppressiv behandling eller nydebuterad sjukdom som innebär ökad risk för svår influensa). </w:t>
      </w:r>
    </w:p>
    <w:p w:rsidR="009F2294" w:rsidP="009F2294" w:rsidRDefault="009F2294" w14:paraId="0D389C3A" w14:textId="77777777">
      <w:pPr>
        <w:pStyle w:val="Rubrik1"/>
        <w:spacing w:before="240" w:after="240"/>
      </w:pPr>
      <w:bookmarkStart w:name="_Toc147759471" w:id="9"/>
      <w:bookmarkStart w:name="_Toc147830895" w:id="10"/>
      <w:r>
        <w:t>Vaccin, riskgrupper och rekommendationer</w:t>
      </w:r>
      <w:bookmarkEnd w:id="9"/>
      <w:bookmarkEnd w:id="10"/>
    </w:p>
    <w:p w:rsidR="009F2294" w:rsidP="009F2294" w:rsidRDefault="009F2294" w14:paraId="4FCE1F62" w14:textId="77777777">
      <w:pPr>
        <w:spacing w:after="240"/>
      </w:pPr>
      <w:r>
        <w:t xml:space="preserve">För information om vaccin, riskgrupper och rekommendationer, se </w:t>
      </w:r>
      <w:hyperlink w:anchor="influensa-15" r:id="rId17">
        <w:r>
          <w:rPr>
            <w:rStyle w:val="Hyperlnk"/>
          </w:rPr>
          <w:t>avsnittet Influensa i T</w:t>
        </w:r>
        <w:r w:rsidRPr="27D4AEB4">
          <w:rPr>
            <w:rStyle w:val="Hyperlnk"/>
          </w:rPr>
          <w:t>erapirekommendationer Halland</w:t>
        </w:r>
        <w:r>
          <w:rPr>
            <w:rStyle w:val="Hyperlnk"/>
          </w:rPr>
          <w:t xml:space="preserve">, kapitel </w:t>
        </w:r>
        <w:r w:rsidRPr="27D4AEB4">
          <w:rPr>
            <w:rStyle w:val="Hyperlnk"/>
          </w:rPr>
          <w:t>Vacciner</w:t>
        </w:r>
      </w:hyperlink>
      <w:r>
        <w:t xml:space="preserve">. </w:t>
      </w:r>
    </w:p>
    <w:p w:rsidRPr="004554A9" w:rsidR="009F2294" w:rsidP="009F2294" w:rsidRDefault="009F2294" w14:paraId="3196C2ED" w14:textId="77777777">
      <w:pPr>
        <w:pStyle w:val="Rubrik1"/>
        <w:spacing w:before="240" w:after="240"/>
      </w:pPr>
      <w:bookmarkStart w:name="_Toc85206570" w:id="11"/>
      <w:bookmarkStart w:name="_Toc85206908" w:id="12"/>
      <w:bookmarkStart w:name="_Toc147759472" w:id="13"/>
      <w:bookmarkStart w:name="_Toc147830896" w:id="14"/>
      <w:r w:rsidRPr="52293D3D">
        <w:t>Vaccinförsörjning</w:t>
      </w:r>
      <w:bookmarkEnd w:id="11"/>
      <w:bookmarkEnd w:id="12"/>
      <w:bookmarkEnd w:id="13"/>
      <w:bookmarkEnd w:id="14"/>
      <w:r w:rsidRPr="52293D3D">
        <w:t xml:space="preserve"> </w:t>
      </w:r>
    </w:p>
    <w:p w:rsidR="009F2294" w:rsidP="009F2294" w:rsidRDefault="009F2294" w14:paraId="7FC0CD25" w14:textId="77777777">
      <w:pPr>
        <w:spacing w:after="240"/>
      </w:pPr>
      <w:r>
        <w:t>Läkemedelsenheten vid Hallands sjukhus har i uppdrag att säkerställa en ändamålsenlig vaccindistribution för säsongsinfluensavaccinationen. Vaccin levereras till vaccinerande enheter inklusive enheter inom kommunens hälso- och sjukvård.</w:t>
      </w:r>
    </w:p>
    <w:p w:rsidRPr="007741F3" w:rsidR="009F2294" w:rsidP="009F2294" w:rsidRDefault="009F2294" w14:paraId="228AF67C" w14:textId="77777777">
      <w:pPr>
        <w:spacing w:after="240"/>
      </w:pPr>
      <w:r>
        <w:t xml:space="preserve">Influvac Tetra (standardvaccin) och Fluad Tetra (adjuvanterat vaccin) är för Region Hallands räkning upphandlade nationellt via Adda, SKR:s inköpsorganisation. Avrop från detta avtal ska göras för vaccin som rekvireras av sjukvårdspersonal inom region och kommun eller hos privata vårdgivare med vilka regionen har avtal och där regionen har betalningsansvaret. Företagshälsovård har egna avtal för influensavaccin. </w:t>
      </w:r>
    </w:p>
    <w:p w:rsidRPr="00F174A0" w:rsidR="009F2294" w:rsidP="009F2294" w:rsidRDefault="009F2294" w14:paraId="481EB835" w14:textId="77777777">
      <w:pPr>
        <w:spacing w:after="240"/>
      </w:pPr>
      <w:r>
        <w:t xml:space="preserve">I början av året efterfrågar respektive leverantör antalet doser som Region Halland önskar inför kommande vaccinationssäsong. Uppskattat antal doser som önskas meddelas och leverantören återkopplar senare under våren hur många doser som kan garanteras. Formellt avrop från avtalet görs vid beställning från leverantören i oktober. </w:t>
      </w:r>
    </w:p>
    <w:p w:rsidRPr="00FD43EA" w:rsidR="009F2294" w:rsidP="009F2294" w:rsidRDefault="009F2294" w14:paraId="5D8D95D4" w14:textId="77777777">
      <w:pPr>
        <w:pStyle w:val="Rubrik1"/>
        <w:spacing w:before="240" w:after="240"/>
      </w:pPr>
      <w:bookmarkStart w:name="_Toc85206571" w:id="15"/>
      <w:bookmarkStart w:name="_Toc85206909" w:id="16"/>
      <w:bookmarkStart w:name="_Toc147759473" w:id="17"/>
      <w:bookmarkStart w:name="_Toc147830897" w:id="18"/>
      <w:r>
        <w:t>Beställning vaccin</w:t>
      </w:r>
      <w:bookmarkEnd w:id="15"/>
      <w:bookmarkEnd w:id="16"/>
      <w:bookmarkEnd w:id="17"/>
      <w:bookmarkEnd w:id="18"/>
    </w:p>
    <w:p w:rsidR="009F2294" w:rsidP="009F2294" w:rsidRDefault="009F2294" w14:paraId="1BB9D849" w14:textId="77777777">
      <w:pPr>
        <w:spacing w:after="240"/>
      </w:pPr>
      <w:r>
        <w:t xml:space="preserve">I år (säsongen 2023/2024) beställer alla vaccinerande enheter inom Region Halland, influensavaccin Influvac Tetra och Fluad Tetra direkt från vaccindistributören Oriola. Enheten behöver ha ett eget kundnummer hos Oriola och vara ansluten till Oriolas Webshop. Beställning görs utefter tilldelning som presenteras för enheterna via en Teamsfil. Fördelningen av Influvac Tetra mellan de olika enheterna baseras på antal listade patienter i åldersgrupp 65+ samt statistik från tidigare säsonger. Fördelningen ska i så stor utsträckning som möjligt tillgodose det önskemål som respektive vaccinerande enhet har. Ett mindre antal doser Fluad Tetra kan beställas till enheter i Vårdval Halland. </w:t>
      </w:r>
    </w:p>
    <w:p w:rsidR="009F2294" w:rsidP="009F2294" w:rsidRDefault="009F2294" w14:paraId="43AB1C12" w14:textId="77777777">
      <w:pPr>
        <w:spacing w:after="240"/>
      </w:pPr>
      <w:r w:rsidRPr="76416F2F">
        <w:t xml:space="preserve">Om brist uppstår kan omfördelning av doser bli aktuellt på ett så jämlikt sätt som möjligt. </w:t>
      </w:r>
    </w:p>
    <w:p w:rsidR="009F2294" w:rsidP="009F2294" w:rsidRDefault="009F2294" w14:paraId="1660B72F" w14:textId="77777777">
      <w:pPr>
        <w:spacing w:after="240"/>
      </w:pPr>
      <w:r>
        <w:t xml:space="preserve">Fluad Tetra levereras framför allt till de kommunala akutläkemedelsförråden där doserna hämtas av kommunens sköterskor för vaccination av personer 65 år och äldre som är boende på Särskilt boende eller har hemsjukvård. Beställning av vaccin görs i Webbabest. Antalet beställda förpackningar meddelas Läkemedelsenheten via Teamsfil. Vid behov av enstaka doser Influvac Tetra kan det hämtas på närmsta vårdcentral. </w:t>
      </w:r>
    </w:p>
    <w:p w:rsidR="009F2294" w:rsidP="009F2294" w:rsidRDefault="009F2294" w14:paraId="176034FB" w14:textId="77777777">
      <w:pPr>
        <w:spacing w:after="240"/>
      </w:pPr>
      <w:r>
        <w:t>Vaccindoser bör sparas för vaccination av personer i medicinska riskgrupper som tillkommer senare under säsongen. Exempel på sådana grupper är gravida och personer som har nytillkommen medicinsk orsak (t ex nyinsatt immunsuppressiv behandling eller nydebuterad sjukdom som innebär ökad risk för svår influensa).</w:t>
      </w:r>
    </w:p>
    <w:p w:rsidR="009F2294" w:rsidP="009F2294" w:rsidRDefault="009F2294" w14:paraId="60DD4FC8" w14:textId="77777777">
      <w:pPr>
        <w:spacing w:before="240" w:after="240"/>
        <w:rPr>
          <w:b/>
          <w:bCs/>
          <w:szCs w:val="22"/>
        </w:rPr>
      </w:pPr>
      <w:r w:rsidRPr="76416F2F">
        <w:rPr>
          <w:b/>
          <w:bCs/>
          <w:szCs w:val="22"/>
        </w:rPr>
        <w:t>Vaccinet levereras utan kanyl</w:t>
      </w:r>
    </w:p>
    <w:p w:rsidR="009F2294" w:rsidP="009F2294" w:rsidRDefault="009F2294" w14:paraId="254A9A41" w14:textId="77777777">
      <w:pPr>
        <w:spacing w:after="240"/>
      </w:pPr>
      <w:r w:rsidRPr="76416F2F">
        <w:t xml:space="preserve">Både </w:t>
      </w:r>
      <w:r>
        <w:t>Influvac</w:t>
      </w:r>
      <w:r w:rsidRPr="76416F2F">
        <w:t xml:space="preserve"> och Fluad levereras </w:t>
      </w:r>
      <w:r w:rsidRPr="76416F2F">
        <w:rPr>
          <w:b/>
          <w:bCs/>
        </w:rPr>
        <w:t>utan</w:t>
      </w:r>
      <w:r w:rsidRPr="76416F2F">
        <w:t xml:space="preserve"> kanyler. Enheterna ansvarar själva för att beställa hem kanyler. </w:t>
      </w:r>
    </w:p>
    <w:p w:rsidRPr="00643AD0" w:rsidR="009F2294" w:rsidP="009F2294" w:rsidRDefault="009F2294" w14:paraId="3A0C66FC" w14:textId="77777777">
      <w:pPr>
        <w:pStyle w:val="Liststycke"/>
        <w:numPr>
          <w:ilvl w:val="0"/>
          <w:numId w:val="17"/>
        </w:numPr>
        <w:spacing w:after="240"/>
      </w:pPr>
      <w:r>
        <w:t xml:space="preserve">För Region Halland inklusive privata vårdgivare inom Vårdvalet: </w:t>
      </w:r>
      <w:r w:rsidRPr="00643AD0">
        <w:rPr>
          <w:color w:val="201F1E"/>
        </w:rPr>
        <w:t xml:space="preserve">Den säkerhetskanyl som ska användas heter SN2510 och beställs via </w:t>
      </w:r>
      <w:r w:rsidRPr="00643AD0">
        <w:rPr>
          <w:b/>
          <w:bCs/>
          <w:color w:val="201F1E"/>
        </w:rPr>
        <w:t>Websesam</w:t>
      </w:r>
      <w:r w:rsidRPr="00643AD0">
        <w:rPr>
          <w:color w:val="201F1E"/>
        </w:rPr>
        <w:t xml:space="preserve"> med beställningsnummer: </w:t>
      </w:r>
      <w:r w:rsidRPr="00643AD0">
        <w:rPr>
          <w:b/>
          <w:bCs/>
          <w:color w:val="201F1E"/>
        </w:rPr>
        <w:t>612691</w:t>
      </w:r>
      <w:r w:rsidRPr="00643AD0">
        <w:rPr>
          <w:color w:val="201F1E"/>
        </w:rPr>
        <w:t>.</w:t>
      </w:r>
    </w:p>
    <w:p w:rsidR="009F2294" w:rsidP="009F2294" w:rsidRDefault="009F2294" w14:paraId="08D7B44E" w14:textId="77777777">
      <w:pPr>
        <w:pStyle w:val="Liststycke"/>
        <w:numPr>
          <w:ilvl w:val="0"/>
          <w:numId w:val="17"/>
        </w:numPr>
        <w:spacing w:after="240"/>
      </w:pPr>
      <w:r w:rsidRPr="005002AC">
        <w:t xml:space="preserve">För kommuner: Beställning av säkerhetskanyler sker från </w:t>
      </w:r>
      <w:r w:rsidRPr="00643AD0">
        <w:rPr>
          <w:b/>
          <w:bCs/>
        </w:rPr>
        <w:t>OneMed</w:t>
      </w:r>
      <w:r w:rsidRPr="005002AC">
        <w:t xml:space="preserve"> utifrån eget avtal.</w:t>
      </w:r>
    </w:p>
    <w:p w:rsidRPr="004554A9" w:rsidR="009F2294" w:rsidP="009F2294" w:rsidRDefault="009F2294" w14:paraId="562CD73F" w14:textId="77777777">
      <w:pPr>
        <w:pStyle w:val="Rubrik1"/>
        <w:spacing w:before="240" w:after="240"/>
      </w:pPr>
      <w:bookmarkStart w:name="_Toc85206572" w:id="19"/>
      <w:bookmarkStart w:name="_Toc85206910" w:id="20"/>
      <w:bookmarkStart w:name="_Toc147759474" w:id="21"/>
      <w:bookmarkStart w:name="_Toc147830898" w:id="22"/>
      <w:r w:rsidRPr="00F6798A">
        <w:t>Vaccination- utförande i olika grupper</w:t>
      </w:r>
      <w:bookmarkEnd w:id="19"/>
      <w:bookmarkEnd w:id="20"/>
      <w:bookmarkEnd w:id="21"/>
      <w:bookmarkEnd w:id="22"/>
      <w:r w:rsidRPr="00F6798A">
        <w:t xml:space="preserve"> </w:t>
      </w:r>
    </w:p>
    <w:p w:rsidRPr="008A56F3" w:rsidR="009F2294" w:rsidP="009F2294" w:rsidRDefault="009F2294" w14:paraId="114A6D99" w14:textId="77777777">
      <w:pPr>
        <w:pStyle w:val="Rubrik2"/>
        <w:spacing w:before="240" w:after="240"/>
        <w:rPr>
          <w:rStyle w:val="Rubrik3Char"/>
        </w:rPr>
      </w:pPr>
      <w:r w:rsidRPr="008A56F3">
        <w:rPr>
          <w:rStyle w:val="Rubrik3Char"/>
        </w:rPr>
        <w:t>Särskilt boende</w:t>
      </w:r>
    </w:p>
    <w:p w:rsidR="009F2294" w:rsidP="009F2294" w:rsidRDefault="009F2294" w14:paraId="6F5B34A9" w14:textId="77777777">
      <w:pPr>
        <w:spacing w:after="240"/>
      </w:pPr>
      <w:r>
        <w:t>Personer boende på SÄBO vaccineras av kommunens sjuksköterskor på boendet. Ordination görs av sjuksköterska med ordinationsrätt (kommunens sjuksköterska eller sjuksköterska på vårdcentral) eller läkare på vårdcentral.</w:t>
      </w:r>
    </w:p>
    <w:p w:rsidR="009F2294" w:rsidP="009F2294" w:rsidRDefault="009F2294" w14:paraId="19002C6F" w14:textId="77777777">
      <w:pPr>
        <w:spacing w:before="240" w:after="240"/>
        <w:rPr>
          <w:b/>
          <w:bCs/>
        </w:rPr>
      </w:pPr>
      <w:bookmarkStart w:name="_Toc85206573" w:id="23"/>
      <w:bookmarkStart w:name="_Toc85206911" w:id="24"/>
      <w:bookmarkStart w:name="_Toc147830899" w:id="25"/>
      <w:r w:rsidRPr="00FD43EA">
        <w:rPr>
          <w:rStyle w:val="Rubrik1Char"/>
          <w:sz w:val="22"/>
          <w:szCs w:val="22"/>
        </w:rPr>
        <w:t>Hemsjukvård</w:t>
      </w:r>
      <w:bookmarkEnd w:id="23"/>
      <w:bookmarkEnd w:id="24"/>
      <w:bookmarkEnd w:id="25"/>
      <w:r w:rsidRPr="008A56F3">
        <w:rPr>
          <w:rStyle w:val="Rubrik1Char"/>
        </w:rPr>
        <w:br/>
      </w:r>
      <w:r>
        <w:t xml:space="preserve">Personer som är inskrivna i hemsjukvård och som har svårt att ta sig till vårdcentral för vaccination erbjuds vaccination i hemmet. Vaccinationen ordineras av sjuksköterska med ordinationsrätt (på vårdcentral eller kommunens sjuksköterska) eller läkare på vårdcentral. Vaccinationen ges i de fallen av kommunens sjuksköterska. </w:t>
      </w:r>
    </w:p>
    <w:p w:rsidR="009F2294" w:rsidP="009F2294" w:rsidRDefault="009F2294" w14:paraId="36B56DAD" w14:textId="77777777">
      <w:pPr>
        <w:spacing w:after="240"/>
      </w:pPr>
      <w:r>
        <w:t xml:space="preserve">För personer som inte är inskrivna i hemsjukvård och som är i behov av enstaka hembesök, följ sedvanligt arbetssätt. </w:t>
      </w:r>
    </w:p>
    <w:p w:rsidR="009F2294" w:rsidP="009F2294" w:rsidRDefault="009F2294" w14:paraId="693D4708" w14:textId="77777777">
      <w:pPr>
        <w:pStyle w:val="Rubrik2"/>
        <w:spacing w:before="240" w:after="240"/>
      </w:pPr>
      <w:r>
        <w:t xml:space="preserve">Personer som rekommenderas vaccination utöver ovan nämnda grupper </w:t>
      </w:r>
    </w:p>
    <w:p w:rsidR="009F2294" w:rsidP="009F2294" w:rsidRDefault="009F2294" w14:paraId="6EDAFF28" w14:textId="77777777">
      <w:pPr>
        <w:pStyle w:val="Rubrik2"/>
        <w:spacing w:after="240"/>
        <w:rPr>
          <w:b w:val="0"/>
        </w:rPr>
      </w:pPr>
      <w:r>
        <w:rPr>
          <w:b w:val="0"/>
        </w:rPr>
        <w:t xml:space="preserve">Vaccination erbjuds på vårdcentralerna (om inte personerna vaccineras i kommunens hälso- och sjukvård enligt ovan). </w:t>
      </w:r>
    </w:p>
    <w:p w:rsidRPr="005A71F3" w:rsidR="009F2294" w:rsidP="009F2294" w:rsidRDefault="009F2294" w14:paraId="627B8808" w14:textId="77777777">
      <w:pPr>
        <w:pStyle w:val="Rubrik2"/>
        <w:spacing w:before="240" w:after="240"/>
        <w:rPr>
          <w:highlight w:val="yellow"/>
        </w:rPr>
      </w:pPr>
      <w:r w:rsidRPr="00D0771A">
        <w:t>Vaccination kan erbjudas i samband med annat vårdbesök på vårdcentral</w:t>
      </w:r>
    </w:p>
    <w:p w:rsidR="009F2294" w:rsidP="009F2294" w:rsidRDefault="009F2294" w14:paraId="381E8754" w14:textId="77777777">
      <w:pPr>
        <w:spacing w:after="240"/>
      </w:pPr>
      <w:r>
        <w:t xml:space="preserve">Vaccination kan också erbjudas i samband med annat vårdbesök på vårdcentral. </w:t>
      </w:r>
    </w:p>
    <w:p w:rsidRPr="00053308" w:rsidR="009F2294" w:rsidP="009F2294" w:rsidRDefault="009F2294" w14:paraId="063A74FD" w14:textId="77777777">
      <w:pPr>
        <w:pStyle w:val="Rubrik2"/>
        <w:spacing w:before="240" w:after="240"/>
      </w:pPr>
      <w:r>
        <w:t>Vaccination kan erbjudas i samband med annat vårdbesök på sjukhus</w:t>
      </w:r>
    </w:p>
    <w:p w:rsidR="009F2294" w:rsidP="009F2294" w:rsidRDefault="009F2294" w14:paraId="0BA6CEBA" w14:textId="77777777">
      <w:pPr>
        <w:spacing w:after="240"/>
        <w:rPr>
          <w:color w:val="000000"/>
        </w:rPr>
      </w:pPr>
      <w:r>
        <w:rPr>
          <w:color w:val="000000" w:themeColor="text1"/>
        </w:rPr>
        <w:t>Personer som rekommenderas vaccination kan vaccineras på sjukhus i samband med mottagningsbesök eller inneliggande vård om aktuell klinik har praktisk möjlighet. </w:t>
      </w:r>
      <w:r w:rsidRPr="03565878">
        <w:rPr>
          <w:color w:val="000000" w:themeColor="text1"/>
        </w:rPr>
        <w:t xml:space="preserve"/>
      </w:r>
      <w:r>
        <w:rPr>
          <w:color w:val="000000" w:themeColor="text1"/>
        </w:rPr>
        <w:t/>
      </w:r>
      <w:r w:rsidRPr="03565878">
        <w:rPr>
          <w:color w:val="000000" w:themeColor="text1"/>
        </w:rPr>
        <w:t xml:space="preserve"/>
      </w:r>
    </w:p>
    <w:p w:rsidR="009F2294" w:rsidP="009F2294" w:rsidRDefault="009F2294" w14:paraId="19556D9F" w14:textId="77777777">
      <w:pPr>
        <w:spacing w:after="240"/>
        <w:rPr>
          <w:strike/>
          <w:color w:val="000000" w:themeColor="text1"/>
        </w:rPr>
      </w:pPr>
      <w:r w:rsidRPr="7C2BE432">
        <w:rPr>
          <w:color w:val="000000" w:themeColor="text1"/>
        </w:rPr>
        <w:t>I undantagsfall kan enstaka vaccindoser hämtas i Medimaten. </w:t>
      </w:r>
    </w:p>
    <w:p w:rsidR="009F2294" w:rsidP="009F2294" w:rsidRDefault="009F2294" w14:paraId="7D5B1B24" w14:textId="77777777">
      <w:pPr>
        <w:pStyle w:val="Rubrik2"/>
        <w:spacing w:before="240" w:after="240"/>
        <w:rPr>
          <w:bCs/>
        </w:rPr>
      </w:pPr>
      <w:r>
        <w:t>Barn</w:t>
      </w:r>
    </w:p>
    <w:p w:rsidR="009F2294" w:rsidP="009F2294" w:rsidRDefault="009F2294" w14:paraId="2B2D1EA1" w14:textId="77777777">
      <w:pPr>
        <w:spacing w:after="240"/>
        <w:rPr>
          <w:color w:val="FF0000"/>
        </w:rPr>
      </w:pPr>
      <w:r>
        <w:t xml:space="preserve">Vaccination mot säsongsinfluensa rekommenderas för barn från 6 månaders ålder med någon av de sjukdomar eller tillstånd som innebär ökad risk för allvarlig sjukdom och vaccinationen sköts via barnkliniken. För vaccinval, se </w:t>
      </w:r>
      <w:hyperlink w:anchor="influensa-15" r:id="rId18">
        <w:r>
          <w:rPr>
            <w:rStyle w:val="Hyperlnk"/>
          </w:rPr>
          <w:t>avsnittet om influensa i Terapirekommendationer Halland, kapitel Vacciner</w:t>
        </w:r>
      </w:hyperlink>
      <w:r>
        <w:t xml:space="preserve">. Se även </w:t>
      </w:r>
      <w:hyperlink r:id="rId19">
        <w:r>
          <w:rPr>
            <w:rStyle w:val="Hyperlnk"/>
          </w:rPr>
          <w:t>B</w:t>
        </w:r>
        <w:r w:rsidRPr="2CF4B7B9">
          <w:rPr>
            <w:rStyle w:val="Hyperlnk"/>
          </w:rPr>
          <w:t>arnklinikens rutin för influensavaccination</w:t>
        </w:r>
      </w:hyperlink>
      <w:r>
        <w:t>.</w:t>
      </w:r>
    </w:p>
    <w:p w:rsidR="009F2294" w:rsidP="009F2294" w:rsidRDefault="009F2294" w14:paraId="7CFCC55A" w14:textId="77777777">
      <w:pPr>
        <w:pStyle w:val="Rubrik2"/>
        <w:spacing w:before="240" w:after="240"/>
      </w:pPr>
      <w:r>
        <w:t>Hälso- och sjukvårdspersonal</w:t>
      </w:r>
    </w:p>
    <w:p w:rsidRPr="000D4AAC" w:rsidR="009F2294" w:rsidP="009F2294" w:rsidRDefault="009F2294" w14:paraId="082BF6C0" w14:textId="77777777">
      <w:pPr>
        <w:spacing w:after="240"/>
        <w:rPr>
          <w:strike/>
        </w:rPr>
      </w:pPr>
      <w:r>
        <w:t>Folkhälsomyndigheten rekommenderar särskilt att personal i vårdnära arbete vaccineras mot säsongsinfluensa för att skydda sköra vårdtagare.</w:t>
      </w:r>
    </w:p>
    <w:p w:rsidR="009F2294" w:rsidP="009F2294" w:rsidRDefault="009F2294" w14:paraId="19A5CA57" w14:textId="77777777">
      <w:pPr>
        <w:spacing w:after="240"/>
      </w:pPr>
      <w:r>
        <w:t xml:space="preserve">För Region Hallands vårdnära personal, förutom psykiatrin (se icke vårdnära personal), finns ett erbjudande om att vaccination kan utföras på arbetsplatsen. Vaccination av vårdnära personal är, liksom riskgruppsvaccination, prioriterat och kan därför göras redan under november. Respektive förvaltning ansvarar för utformningen av denna vaccinationsinsats. Mer information gällande personalvaccination i Region Halland finns i den regiongemensamma rutinen. Se rutin: </w:t>
      </w:r>
      <w:hyperlink r:id="rId20">
        <w:r w:rsidRPr="00561A59">
          <w:rPr>
            <w:rStyle w:val="Hyperlnk"/>
          </w:rPr>
          <w:t>Vaccination influensa personal RH</w:t>
        </w:r>
      </w:hyperlink>
      <w:r>
        <w:t xml:space="preserve">. </w:t>
      </w:r>
    </w:p>
    <w:p w:rsidRPr="00C35ED1" w:rsidR="009F2294" w:rsidP="009F2294" w:rsidRDefault="009F2294" w14:paraId="085033FD" w14:textId="77777777">
      <w:pPr>
        <w:spacing w:after="240"/>
        <w:rPr>
          <w:color w:val="FF0000"/>
        </w:rPr>
      </w:pPr>
      <w:r>
        <w:t xml:space="preserve">För andra vårdgivare inom Region Halland och Hallands kommuners huvudmannaområden får vaccination av vårdnära personal utföras i den verksamhet som anvisas av respektive vårdgivare. Vaccinförsörjningen till sådan verksamhet sker inte via Region Hallands upphandlade leverantör. </w:t>
      </w:r>
    </w:p>
    <w:p w:rsidRPr="00C35ED1" w:rsidR="009F2294" w:rsidP="009F2294" w:rsidRDefault="009F2294" w14:paraId="07E73639" w14:textId="77777777">
      <w:pPr>
        <w:pStyle w:val="Rubrik2"/>
        <w:spacing w:before="240" w:after="240"/>
      </w:pPr>
      <w:r>
        <w:t xml:space="preserve">Studenter som genomgår verksamhetsförlagd utbildning, VFU, inom vårdutbildningar </w:t>
      </w:r>
    </w:p>
    <w:p w:rsidRPr="0087701A" w:rsidR="009F2294" w:rsidP="009F2294" w:rsidRDefault="009F2294" w14:paraId="4C17DCDB" w14:textId="77777777">
      <w:pPr>
        <w:spacing w:after="240"/>
        <w:rPr>
          <w:rFonts w:eastAsia="Garamond"/>
          <w:highlight w:val="yellow"/>
        </w:rPr>
      </w:pPr>
      <w:r w:rsidRPr="0087701A">
        <w:rPr>
          <w:rFonts w:eastAsia="Garamond"/>
        </w:rPr>
        <w:t xml:space="preserve">Studerande som ska göra sin VFU inom vården erbjuds vaccination mot säsongsinfluensan för att minska risken av smittspridning till patienter i riskgrupp. </w:t>
      </w:r>
      <w:r>
        <w:rPr>
          <w:rFonts w:eastAsia="Garamond"/>
        </w:rPr>
        <w:t/>
      </w:r>
      <w:r w:rsidRPr="0087701A">
        <w:rPr>
          <w:rFonts w:eastAsia="Garamond"/>
        </w:rPr>
        <w:t xml:space="preserve"/>
      </w:r>
    </w:p>
    <w:p w:rsidRPr="0087701A" w:rsidR="009F2294" w:rsidP="009F2294" w:rsidRDefault="009F2294" w14:paraId="4A80A795" w14:textId="77777777">
      <w:pPr>
        <w:spacing w:after="240"/>
      </w:pPr>
      <w:r w:rsidRPr="0087701A">
        <w:rPr>
          <w:rFonts w:eastAsia="Garamond"/>
        </w:rPr>
        <w:t xml:space="preserve">De studerande hänvisas till: </w:t>
      </w:r>
    </w:p>
    <w:p w:rsidRPr="0087701A" w:rsidR="009F2294" w:rsidP="009F2294" w:rsidRDefault="009F2294" w14:paraId="44A9D9CB" w14:textId="77777777">
      <w:pPr>
        <w:pStyle w:val="Liststycke"/>
        <w:numPr>
          <w:ilvl w:val="0"/>
          <w:numId w:val="13"/>
        </w:numPr>
        <w:spacing w:after="240" w:line="245" w:lineRule="auto"/>
        <w:rPr>
          <w:rFonts w:cs="Arial"/>
        </w:rPr>
      </w:pPr>
      <w:r w:rsidRPr="0087701A">
        <w:rPr>
          <w:rFonts w:eastAsia="Garamond" w:cs="Arial"/>
        </w:rPr>
        <w:t>Vårdcentralen där hen är listad i Halland.</w:t>
      </w:r>
    </w:p>
    <w:p w:rsidRPr="0087701A" w:rsidR="009F2294" w:rsidP="009F2294" w:rsidRDefault="009F2294" w14:paraId="43151258" w14:textId="77777777">
      <w:pPr>
        <w:pStyle w:val="Liststycke"/>
        <w:numPr>
          <w:ilvl w:val="0"/>
          <w:numId w:val="13"/>
        </w:numPr>
        <w:spacing w:after="240" w:line="245" w:lineRule="auto"/>
        <w:rPr>
          <w:rFonts w:cs="Arial"/>
        </w:rPr>
      </w:pPr>
      <w:r w:rsidRPr="0087701A">
        <w:rPr>
          <w:rFonts w:eastAsia="Garamond" w:cs="Arial"/>
        </w:rPr>
        <w:t>Vårdcentralen som ligger närmast hens bostad i Halland. (Om den studerande är skriven i annan region än Halland).</w:t>
      </w:r>
    </w:p>
    <w:p w:rsidRPr="0087701A" w:rsidR="009F2294" w:rsidP="009F2294" w:rsidRDefault="009F2294" w14:paraId="1A6D8C64" w14:textId="77777777">
      <w:pPr>
        <w:pStyle w:val="Liststycke"/>
        <w:numPr>
          <w:ilvl w:val="0"/>
          <w:numId w:val="13"/>
        </w:numPr>
        <w:spacing w:after="240" w:line="245" w:lineRule="auto"/>
        <w:rPr>
          <w:rFonts w:cs="Arial"/>
        </w:rPr>
      </w:pPr>
      <w:r w:rsidRPr="0087701A">
        <w:rPr>
          <w:rFonts w:eastAsia="Garamond" w:cs="Arial"/>
        </w:rPr>
        <w:t xml:space="preserve">Vårdcentralen som ligger närmast aktuell skola, om den studerande inte är bosatt i Halland. </w:t>
      </w:r>
    </w:p>
    <w:p w:rsidRPr="0087701A" w:rsidR="009F2294" w:rsidP="009F2294" w:rsidRDefault="009F2294" w14:paraId="77AFAAAC" w14:textId="77777777">
      <w:pPr>
        <w:pStyle w:val="Liststycke"/>
        <w:numPr>
          <w:ilvl w:val="0"/>
          <w:numId w:val="13"/>
        </w:numPr>
        <w:spacing w:after="240" w:line="245" w:lineRule="auto"/>
        <w:rPr>
          <w:rFonts w:eastAsia="Garamond" w:cs="Arial"/>
        </w:rPr>
      </w:pPr>
      <w:r w:rsidRPr="141ED084">
        <w:rPr>
          <w:rFonts w:eastAsia="Garamond" w:cs="Arial"/>
        </w:rPr>
        <w:t>De studerande ska uppvisa intyg som de får från sin skola för att få ingå under begreppet ”personal”.</w:t>
      </w:r>
    </w:p>
    <w:p w:rsidR="009F2294" w:rsidP="009F2294" w:rsidRDefault="009F2294" w14:paraId="29337A3A" w14:textId="77777777">
      <w:pPr>
        <w:spacing w:after="240" w:line="245" w:lineRule="auto"/>
        <w:rPr>
          <w:rFonts w:eastAsia="Garamond"/>
        </w:rPr>
      </w:pPr>
      <w:r w:rsidRPr="5B7672D1">
        <w:rPr>
          <w:rFonts w:eastAsia="Garamond"/>
        </w:rPr>
        <w:t>Studerande kan även erbjudas vaccination på den arbetsplats där de gör sin VFU i samband med att ordinarie vårdnära personal genomför vaccination på egen förvaltning. Gäller VFU på vårdcentraler och vid Hallands sjukhus.</w:t>
      </w:r>
    </w:p>
    <w:p w:rsidR="009F2294" w:rsidP="009F2294" w:rsidRDefault="009F2294" w14:paraId="36E4D2B8" w14:textId="77777777">
      <w:pPr>
        <w:pStyle w:val="Rubrik2"/>
        <w:spacing w:before="240" w:after="240"/>
      </w:pPr>
      <w:r>
        <w:t xml:space="preserve">Icke vårdnära personal </w:t>
      </w:r>
    </w:p>
    <w:p w:rsidRPr="00032F6C" w:rsidR="009F2294" w:rsidP="009F2294" w:rsidRDefault="009F2294" w14:paraId="0374B9E9" w14:textId="77777777">
      <w:pPr>
        <w:spacing w:after="240"/>
        <w:rPr>
          <w:i/>
          <w:iCs/>
          <w:color w:val="FF0000"/>
        </w:rPr>
      </w:pPr>
      <w:r>
        <w:t xml:space="preserve">Icke vårdnära personal och personal i psykiatrin i Region Halland vaccineras på upphandlad företagshälsovårdsleverantörs mottagningar efter tidsbokning. Mer information gällande personalvaccination i Region Halland finns i den regiongemensamma rutinen </w:t>
      </w:r>
      <w:hyperlink r:id="rId21">
        <w:r w:rsidRPr="5B7672D1">
          <w:rPr>
            <w:rStyle w:val="Hyperlnk"/>
          </w:rPr>
          <w:t>Vaccination influensa personal RH</w:t>
        </w:r>
      </w:hyperlink>
      <w:r>
        <w:t xml:space="preserve">. </w:t>
      </w:r>
    </w:p>
    <w:p w:rsidR="009F2294" w:rsidP="009F2294" w:rsidRDefault="009F2294" w14:paraId="300CC3B0" w14:textId="77777777">
      <w:pPr>
        <w:pStyle w:val="Rubrik2"/>
        <w:spacing w:before="240" w:after="240"/>
      </w:pPr>
      <w:r>
        <w:t>Övriga invånare</w:t>
      </w:r>
    </w:p>
    <w:p w:rsidR="009F2294" w:rsidP="009F2294" w:rsidRDefault="009F2294" w14:paraId="74BBF892" w14:textId="77777777">
      <w:pPr>
        <w:spacing w:after="240"/>
        <w:rPr>
          <w:color w:val="FF0000"/>
        </w:rPr>
      </w:pPr>
      <w:r>
        <w:t>Personer som inte tillhör någon av de prioriterade grupper som rekommenderas vaccination mot influensa erbjuds vaccination efter de prioriterade grupperna. Vaccination för allmänheten 2023 kan påbörjas i december. Vaccination ges under 2023–2024 mot avgift 305 kr (patientavgift + vaccinkostnad Influvac Tetra).</w:t>
      </w:r>
      <w:r w:rsidRPr="7C2BE432">
        <w:rPr>
          <w:color w:val="FF0000"/>
        </w:rPr>
        <w:t xml:space="preserve"> </w:t>
      </w:r>
    </w:p>
    <w:p w:rsidR="009F2294" w:rsidP="009F2294" w:rsidRDefault="009F2294" w14:paraId="6A3BFDBC" w14:textId="77777777">
      <w:pPr>
        <w:pStyle w:val="Rubrik2"/>
        <w:spacing w:before="240" w:after="240"/>
        <w:rPr>
          <w:rFonts w:eastAsiaTheme="majorEastAsia"/>
        </w:rPr>
      </w:pPr>
      <w:r w:rsidRPr="21F3DB67">
        <w:rPr>
          <w:rFonts w:eastAsiaTheme="majorEastAsia"/>
        </w:rPr>
        <w:t>Privata vårdgivare allmänläkare med avtal LOL Nationell taxa Läkare</w:t>
      </w:r>
    </w:p>
    <w:p w:rsidR="009F2294" w:rsidP="009F2294" w:rsidRDefault="009F2294" w14:paraId="1A820983" w14:textId="77777777">
      <w:pPr>
        <w:spacing w:after="240"/>
      </w:pPr>
      <w:r>
        <w:t xml:space="preserve">Privat vårdgivare allmänläkare med avtal LOL får vaccinera om så önskas. En förutsättning är dock att vaccinationen dokumenteras i MittVaccin. Vaccin kan då efter klartecken beställas från Region Hallands avtal precis som vårdcentralerna inom Vårdval Halland. </w:t>
      </w:r>
    </w:p>
    <w:p w:rsidRPr="004554A9" w:rsidR="009F2294" w:rsidP="009F2294" w:rsidRDefault="009F2294" w14:paraId="09B3B5DE" w14:textId="77777777">
      <w:pPr>
        <w:pStyle w:val="Rubrik1"/>
        <w:spacing w:before="240" w:after="240"/>
      </w:pPr>
      <w:bookmarkStart w:name="_Toc85206574" w:id="26"/>
      <w:bookmarkStart w:name="_Toc85206912" w:id="27"/>
      <w:bookmarkStart w:name="_Toc147759475" w:id="28"/>
      <w:bookmarkStart w:name="_Toc147830900" w:id="29"/>
      <w:r>
        <w:t>Bokning</w:t>
      </w:r>
      <w:bookmarkEnd w:id="26"/>
      <w:bookmarkEnd w:id="27"/>
      <w:bookmarkEnd w:id="28"/>
      <w:bookmarkEnd w:id="29"/>
    </w:p>
    <w:p w:rsidR="009F2294" w:rsidP="009F2294" w:rsidRDefault="009F2294" w14:paraId="4E54BFDE" w14:textId="77777777">
      <w:pPr>
        <w:pStyle w:val="paragraph"/>
        <w:spacing w:before="240" w:beforeAutospacing="0" w:after="240" w:afterAutospacing="0"/>
        <w:rPr>
          <w:rFonts w:ascii="Segoe UI" w:hAnsi="Segoe UI" w:cs="Segoe UI"/>
          <w:sz w:val="18"/>
          <w:szCs w:val="18"/>
        </w:rPr>
      </w:pPr>
      <w:r w:rsidRPr="2CF4B7B9">
        <w:rPr>
          <w:rStyle w:val="normaltextrun"/>
          <w:rFonts w:ascii="Arial" w:hAnsi="Arial" w:cs="Arial"/>
          <w:b/>
          <w:bCs/>
          <w:sz w:val="22"/>
          <w:szCs w:val="22"/>
        </w:rPr>
        <w:t>Tidsbokning eller drop-in</w:t>
      </w:r>
      <w:r w:rsidRPr="2CF4B7B9">
        <w:rPr>
          <w:rStyle w:val="eop"/>
          <w:rFonts w:ascii="Arial" w:hAnsi="Arial" w:cs="Arial"/>
          <w:sz w:val="22"/>
          <w:szCs w:val="22"/>
        </w:rPr>
        <w:t> </w:t>
      </w:r>
    </w:p>
    <w:p w:rsidR="009F2294" w:rsidP="009F2294" w:rsidRDefault="009F2294" w14:paraId="245186A9" w14:textId="77777777">
      <w:pPr>
        <w:pStyle w:val="paragraph"/>
        <w:spacing w:before="0" w:beforeAutospacing="0" w:after="240" w:afterAutospacing="0"/>
        <w:rPr>
          <w:rStyle w:val="normaltextrun"/>
          <w:rFonts w:ascii="Arial" w:hAnsi="Arial" w:cs="Arial"/>
          <w:sz w:val="22"/>
          <w:szCs w:val="22"/>
        </w:rPr>
      </w:pPr>
      <w:r w:rsidRPr="2CF4B7B9">
        <w:rPr>
          <w:rStyle w:val="normaltextrun"/>
          <w:rFonts w:ascii="Arial" w:hAnsi="Arial" w:cs="Arial"/>
          <w:sz w:val="22"/>
          <w:szCs w:val="22"/>
        </w:rPr>
        <w:t>Vaccinationsinsatsen kan genomföras genom tidsbokade besök eller drop-in. Verksamheten behöver anpassas efter rådande smittläge och följa aktuella vårdhygieniska riktlinjer. Möjlighet till vaccination ska finnas hela säsongen för nytillkomna personer i riskgrupp.</w:t>
      </w:r>
    </w:p>
    <w:p w:rsidR="009F2294" w:rsidP="009F2294" w:rsidRDefault="009F2294" w14:paraId="66A7C128" w14:textId="77777777">
      <w:pPr>
        <w:pStyle w:val="Rubrik2"/>
        <w:spacing w:before="240" w:after="240"/>
        <w:rPr>
          <w:rFonts w:eastAsiaTheme="majorEastAsia"/>
        </w:rPr>
      </w:pPr>
      <w:r w:rsidRPr="63C0DAD3">
        <w:rPr>
          <w:rFonts w:eastAsiaTheme="majorEastAsia"/>
        </w:rPr>
        <w:t>När invånaren bokar tid</w:t>
      </w:r>
    </w:p>
    <w:p w:rsidR="009F2294" w:rsidP="009F2294" w:rsidRDefault="009F2294" w14:paraId="4CAA0B79" w14:textId="77777777">
      <w:pPr>
        <w:pStyle w:val="Liststycke"/>
        <w:numPr>
          <w:ilvl w:val="0"/>
          <w:numId w:val="16"/>
        </w:numPr>
        <w:spacing w:after="240" w:line="245" w:lineRule="auto"/>
        <w:rPr>
          <w:rFonts w:eastAsia="Arial" w:cs="Arial"/>
        </w:rPr>
      </w:pPr>
      <w:r>
        <w:t xml:space="preserve">Personer som har tillgång till mobilt bank-ID kan boka tid via 1177.se. Hälsodeklaration ifylles i samband med bokningen. </w:t>
      </w:r>
    </w:p>
    <w:p w:rsidR="009F2294" w:rsidP="009F2294" w:rsidRDefault="009F2294" w14:paraId="32870909" w14:textId="77777777">
      <w:pPr>
        <w:pStyle w:val="Liststycke"/>
        <w:numPr>
          <w:ilvl w:val="0"/>
          <w:numId w:val="16"/>
        </w:numPr>
        <w:spacing w:after="240" w:line="245" w:lineRule="auto"/>
        <w:rPr>
          <w:rFonts w:eastAsia="Arial" w:cs="Arial"/>
        </w:rPr>
      </w:pPr>
      <w:r w:rsidRPr="7C2BE432">
        <w:rPr>
          <w:rFonts w:eastAsia="Arial" w:cs="Arial"/>
        </w:rPr>
        <w:t>Personer som inte har tillgång till mobilt bank-ID kan boka tid genom att kontakta sin vårdcentral.</w:t>
      </w:r>
    </w:p>
    <w:p w:rsidR="009F2294" w:rsidP="009F2294" w:rsidRDefault="009F2294" w14:paraId="01725D37" w14:textId="77777777">
      <w:pPr>
        <w:pStyle w:val="Rubrik2"/>
        <w:spacing w:before="240" w:after="240"/>
        <w:rPr>
          <w:rFonts w:eastAsiaTheme="majorEastAsia"/>
        </w:rPr>
      </w:pPr>
      <w:r w:rsidRPr="63C0DAD3">
        <w:rPr>
          <w:rFonts w:eastAsiaTheme="majorEastAsia"/>
        </w:rPr>
        <w:t>När vården bokar tid</w:t>
      </w:r>
    </w:p>
    <w:p w:rsidR="009F2294" w:rsidP="009F2294" w:rsidRDefault="009F2294" w14:paraId="1B6EAA46" w14:textId="77777777">
      <w:pPr>
        <w:pStyle w:val="Liststycke"/>
        <w:numPr>
          <w:ilvl w:val="0"/>
          <w:numId w:val="15"/>
        </w:numPr>
        <w:spacing w:after="240" w:line="245" w:lineRule="auto"/>
      </w:pPr>
      <w:r>
        <w:t>Bokning sker av vaccinerande enhet.</w:t>
      </w:r>
    </w:p>
    <w:p w:rsidR="009F2294" w:rsidP="009F2294" w:rsidRDefault="009F2294" w14:paraId="7F87081C" w14:textId="77777777">
      <w:pPr>
        <w:pStyle w:val="Liststycke"/>
        <w:numPr>
          <w:ilvl w:val="0"/>
          <w:numId w:val="15"/>
        </w:numPr>
        <w:spacing w:after="240" w:line="245" w:lineRule="auto"/>
      </w:pPr>
      <w:r>
        <w:t>Personen bokas i MittVaccin.</w:t>
      </w:r>
    </w:p>
    <w:p w:rsidR="009F2294" w:rsidP="009F2294" w:rsidRDefault="009F2294" w14:paraId="7A4F06DA" w14:textId="77777777">
      <w:pPr>
        <w:pStyle w:val="Liststycke"/>
        <w:numPr>
          <w:ilvl w:val="0"/>
          <w:numId w:val="15"/>
        </w:numPr>
        <w:spacing w:after="240" w:line="245" w:lineRule="auto"/>
      </w:pPr>
      <w:r>
        <w:t>Hälsodeklaration fylls i, i MittVaccin.</w:t>
      </w:r>
    </w:p>
    <w:p w:rsidR="009F2294" w:rsidP="009F2294" w:rsidRDefault="009F2294" w14:paraId="44C6D859" w14:textId="77777777">
      <w:pPr>
        <w:pStyle w:val="Rubrik2"/>
        <w:spacing w:before="240" w:after="240"/>
        <w:rPr>
          <w:rFonts w:eastAsiaTheme="majorEastAsia"/>
        </w:rPr>
      </w:pPr>
      <w:r w:rsidRPr="63C0DAD3">
        <w:rPr>
          <w:rFonts w:eastAsiaTheme="majorEastAsia"/>
        </w:rPr>
        <w:t>Vaccination utan bokning</w:t>
      </w:r>
    </w:p>
    <w:p w:rsidR="009F2294" w:rsidP="009F2294" w:rsidRDefault="009F2294" w14:paraId="1B66B19D" w14:textId="77777777">
      <w:pPr>
        <w:pStyle w:val="Liststycke"/>
        <w:numPr>
          <w:ilvl w:val="0"/>
          <w:numId w:val="12"/>
        </w:numPr>
        <w:spacing w:after="240" w:line="245" w:lineRule="auto"/>
        <w:rPr>
          <w:rFonts w:eastAsiaTheme="majorEastAsia" w:cstheme="majorBidi"/>
        </w:rPr>
      </w:pPr>
      <w:r w:rsidRPr="247CCC85">
        <w:rPr>
          <w:rFonts w:eastAsiaTheme="majorEastAsia" w:cstheme="majorBidi"/>
        </w:rPr>
        <w:t>Registrering görs direkt i MittVaccin genom att registrera kund och starta vaccination.</w:t>
      </w:r>
      <w:r>
        <w:rPr>
          <w:rFonts w:eastAsiaTheme="majorEastAsia" w:cstheme="majorBidi"/>
        </w:rPr>
        <w:t/>
      </w:r>
    </w:p>
    <w:p w:rsidR="009F2294" w:rsidP="009F2294" w:rsidRDefault="009F2294" w14:paraId="4DB8A15C" w14:textId="77777777">
      <w:pPr>
        <w:pStyle w:val="Rubrik1"/>
        <w:spacing w:before="240" w:after="240" w:line="245" w:lineRule="auto"/>
      </w:pPr>
      <w:bookmarkStart w:name="_Toc85206575" w:id="30"/>
      <w:bookmarkStart w:name="_Toc85206913" w:id="31"/>
      <w:bookmarkStart w:name="_Toc147759476" w:id="32"/>
      <w:bookmarkStart w:name="_Toc147830901" w:id="33"/>
      <w:r>
        <w:t>Dokumentation</w:t>
      </w:r>
      <w:bookmarkEnd w:id="30"/>
      <w:bookmarkEnd w:id="31"/>
      <w:bookmarkEnd w:id="32"/>
      <w:bookmarkEnd w:id="33"/>
      <w:r>
        <w:t xml:space="preserve"> </w:t>
      </w:r>
    </w:p>
    <w:p w:rsidRPr="00D252A7" w:rsidR="009F2294" w:rsidP="009F2294" w:rsidRDefault="009F2294" w14:paraId="3F1331A5" w14:textId="77777777">
      <w:pPr>
        <w:pStyle w:val="Rubrik2"/>
        <w:spacing w:before="240" w:after="240"/>
      </w:pPr>
      <w:r>
        <w:t xml:space="preserve">MittVaccin  </w:t>
      </w:r>
    </w:p>
    <w:p w:rsidRPr="00D252A7" w:rsidR="009F2294" w:rsidP="009F2294" w:rsidRDefault="009F2294" w14:paraId="5E645E02" w14:textId="77777777">
      <w:pPr>
        <w:spacing w:after="240"/>
      </w:pPr>
      <w:r>
        <w:t xml:space="preserve">MittVaccin är ett journalsystem för vaccinationer där dokumentation (ordination, registrering och dokumentation av given vaccination) sker. Vaccinsaldo ska vara inlagt i systemet innan dokumentation kan ske. </w:t>
      </w:r>
      <w:r w:rsidRPr="2CF4B7B9">
        <w:rPr>
          <w:b/>
          <w:bCs/>
        </w:rPr>
        <w:t>Kundgrupp</w:t>
      </w:r>
      <w:r>
        <w:t xml:space="preserve"> </w:t>
      </w:r>
      <w:r w:rsidRPr="2CF4B7B9">
        <w:rPr>
          <w:b/>
          <w:bCs/>
        </w:rPr>
        <w:t>ska alltid anges</w:t>
      </w:r>
      <w:r>
        <w:t xml:space="preserve"> för alla typer av sjukdomsskydd. </w:t>
      </w:r>
    </w:p>
    <w:p w:rsidRPr="0087701A" w:rsidR="009F2294" w:rsidP="009F2294" w:rsidRDefault="009F2294" w14:paraId="4B774F1D" w14:textId="77777777">
      <w:pPr>
        <w:pStyle w:val="Rubrik2"/>
        <w:spacing w:before="240" w:after="240"/>
        <w:rPr>
          <w:b w:val="0"/>
        </w:rPr>
      </w:pPr>
      <w:r>
        <w:t>Ordination</w:t>
      </w:r>
    </w:p>
    <w:p w:rsidRPr="00D252A7" w:rsidR="009F2294" w:rsidP="009F2294" w:rsidRDefault="009F2294" w14:paraId="3B22E3F3" w14:textId="77777777">
      <w:pPr>
        <w:spacing w:after="240"/>
      </w:pPr>
      <w:r>
        <w:t>Efter kontroll av hälsodeklaration ordineras vaccinsort, dosnummer, dosering, administrationsställe och lokalisation. Vissa av dessa uppgifter är förifyllda. Innan ordination, kontrollera under funktionen Sammanhållen journalföring om invånaren fått en dos sedan tidigare. Ordination och administrering kan ske antingen vid samma tillfälle eller var för sig av olika personer eller olika vårdgivare.</w:t>
      </w:r>
    </w:p>
    <w:p w:rsidRPr="0087701A" w:rsidR="009F2294" w:rsidP="009F2294" w:rsidRDefault="009F2294" w14:paraId="448FC801" w14:textId="77777777">
      <w:pPr>
        <w:pStyle w:val="Rubrik2"/>
        <w:spacing w:before="240" w:after="240"/>
        <w:rPr>
          <w:b w:val="0"/>
        </w:rPr>
      </w:pPr>
      <w:r>
        <w:t>Administrering</w:t>
      </w:r>
    </w:p>
    <w:p w:rsidRPr="00D252A7" w:rsidR="009F2294" w:rsidP="009F2294" w:rsidRDefault="009F2294" w14:paraId="5AF8A953" w14:textId="77777777">
      <w:pPr>
        <w:spacing w:after="240"/>
      </w:pPr>
      <w:r>
        <w:t>Vid administrering anges vaccinationsdatum och batchnummer. Vid administrering av ordination gjord av annan vårdgivare hämtas informationen upp via funktionen Sammanhållen journalföring. Om ordination och administrering inte sker vid samma tillfälle är det viktigt att kontrollera hälsodeklarationen igen vid administreringstillfället.</w:t>
      </w:r>
    </w:p>
    <w:p w:rsidRPr="00D252A7" w:rsidR="009F2294" w:rsidP="009F2294" w:rsidRDefault="009F2294" w14:paraId="1084C2A0" w14:textId="77777777">
      <w:pPr>
        <w:spacing w:after="240"/>
      </w:pPr>
      <w:r>
        <w:t>För användarstöd hänvisas till de guider som finns publicerade på Vårdgivarwebben (</w:t>
      </w:r>
      <w:hyperlink r:id="rId22">
        <w:r w:rsidRPr="2CF4B7B9">
          <w:rPr>
            <w:rStyle w:val="Hyperlnk"/>
          </w:rPr>
          <w:t>Vårdgivare - Region Halland</w:t>
        </w:r>
      </w:hyperlink>
      <w:r>
        <w:rPr>
          <w:rStyle w:val="Hyperlnk"/>
        </w:rPr>
        <w:t>) alternativt Läkemedelssupporten 010- 476 19 00</w:t>
      </w:r>
      <w:r>
        <w:t xml:space="preserve"/>
      </w:r>
    </w:p>
    <w:p w:rsidRPr="001A6A47" w:rsidR="009F2294" w:rsidP="009F2294" w:rsidRDefault="009F2294" w14:paraId="502B3610" w14:textId="77777777">
      <w:pPr>
        <w:spacing w:after="240"/>
        <w:rPr>
          <w:rStyle w:val="Hyperlnk"/>
          <w:color w:val="auto"/>
          <w:u w:val="none"/>
        </w:rPr>
      </w:pPr>
      <w:r>
        <w:t>I det läge</w:t>
      </w:r>
      <w:r w:rsidRPr="2CF4B7B9">
        <w:rPr>
          <w:rFonts w:ascii="Times New Roman" w:hAnsi="Times New Roman" w:cs="Times New Roman"/>
        </w:rPr>
        <w:t> </w:t>
      </w:r>
      <w:r>
        <w:t>MittVaccin</w:t>
      </w:r>
      <w:r w:rsidRPr="2CF4B7B9">
        <w:rPr>
          <w:rFonts w:ascii="Times New Roman" w:hAnsi="Times New Roman" w:cs="Times New Roman"/>
        </w:rPr>
        <w:t> </w:t>
      </w:r>
      <w:r>
        <w:t>inte finns</w:t>
      </w:r>
      <w:r w:rsidRPr="2CF4B7B9">
        <w:rPr>
          <w:rFonts w:ascii="Times New Roman" w:hAnsi="Times New Roman" w:cs="Times New Roman"/>
        </w:rPr>
        <w:t> </w:t>
      </w:r>
      <w:r>
        <w:t xml:space="preserve">tillgängligt ska dokumentation ske på papper tills systemet åter är tillgängligt– se </w:t>
      </w:r>
      <w:hyperlink r:id="rId23">
        <w:r w:rsidRPr="2CF4B7B9">
          <w:rPr>
            <w:rStyle w:val="Hyperlnk"/>
          </w:rPr>
          <w:t>MittVaccin reservrutin</w:t>
        </w:r>
      </w:hyperlink>
      <w:r>
        <w:rPr>
          <w:rStyle w:val="Hyperlnk"/>
          <w:color w:val="auto"/>
          <w:u w:val="none"/>
        </w:rPr>
        <w:t>.</w:t>
      </w:r>
    </w:p>
    <w:p w:rsidRPr="00DE66CF" w:rsidR="009F2294" w:rsidP="009F2294" w:rsidRDefault="009F2294" w14:paraId="24C5D7A9" w14:textId="77777777">
      <w:pPr>
        <w:spacing w:after="240"/>
      </w:pPr>
      <w:r w:rsidRPr="2CF4B7B9">
        <w:rPr>
          <w:b/>
          <w:bCs/>
        </w:rPr>
        <w:t>Betalning Vaccination</w:t>
      </w:r>
      <w:r>
        <w:t xml:space="preserve"> </w:t>
      </w:r>
    </w:p>
    <w:p w:rsidRPr="00DE66CF" w:rsidR="009F2294" w:rsidP="009F2294" w:rsidRDefault="009F2294" w14:paraId="54EF2BAF" w14:textId="77777777">
      <w:pPr>
        <w:spacing w:after="240"/>
      </w:pPr>
      <w:r>
        <w:t>Vaccination som ska betalas av invånare görs via försäljning i VAS.</w:t>
      </w:r>
    </w:p>
    <w:p w:rsidRPr="00DE66CF" w:rsidR="009F2294" w:rsidP="009F2294" w:rsidRDefault="009F2294" w14:paraId="766BC8BD" w14:textId="77777777">
      <w:pPr>
        <w:spacing w:after="240"/>
      </w:pPr>
      <w:r>
        <w:t>Artikel: Vaccination</w:t>
      </w:r>
    </w:p>
    <w:p w:rsidRPr="00DE66CF" w:rsidR="009F2294" w:rsidP="009F2294" w:rsidRDefault="009F2294" w14:paraId="2000F7A5" w14:textId="77777777">
      <w:pPr>
        <w:spacing w:after="240"/>
      </w:pPr>
      <w:r>
        <w:t xml:space="preserve">Kostnad: xx kronor </w:t>
      </w:r>
    </w:p>
    <w:p w:rsidRPr="00DE66CF" w:rsidR="009F2294" w:rsidP="009F2294" w:rsidRDefault="009F2294" w14:paraId="60292784" w14:textId="77777777">
      <w:pPr>
        <w:spacing w:after="240"/>
      </w:pPr>
      <w:r>
        <w:t>Ingen registrering eller dokumentation ska göras i VAS när besöket endast innebär vaccination. Ingen diagnos- eller KVÅ registrering ska göras.</w:t>
      </w:r>
    </w:p>
    <w:p w:rsidRPr="00561A59" w:rsidR="009F2294" w:rsidP="009F2294" w:rsidRDefault="009F2294" w14:paraId="25DDE419" w14:textId="77777777">
      <w:pPr>
        <w:spacing w:after="240"/>
        <w:rPr>
          <w:rStyle w:val="Hyperlnk"/>
          <w:color w:val="auto"/>
          <w:u w:val="none"/>
        </w:rPr>
      </w:pPr>
      <w:r>
        <w:t>Om influensavaccination sker i samband med annat planerat besök för patienten och behov finns att kommentera detta i den journalanteckning som görs på besöket i VAS kan det göras på sökord</w:t>
      </w:r>
      <w:r w:rsidRPr="2CF4B7B9">
        <w:rPr>
          <w:i/>
          <w:iCs/>
        </w:rPr>
        <w:t xml:space="preserve"> </w:t>
      </w:r>
      <w:r w:rsidRPr="2CF4B7B9">
        <w:rPr>
          <w:b/>
          <w:bCs/>
        </w:rPr>
        <w:t>Läkemedelshantering.</w:t>
      </w:r>
      <w:r>
        <w:t xml:space="preserve"> Vaccinationen ska endast registreras i MittVaccin.</w:t>
      </w:r>
    </w:p>
    <w:p w:rsidR="009F2294" w:rsidP="009F2294" w:rsidRDefault="009F2294" w14:paraId="4C845132" w14:textId="77777777">
      <w:pPr>
        <w:pStyle w:val="Rubrik1"/>
        <w:spacing w:before="240" w:after="240"/>
      </w:pPr>
      <w:bookmarkStart w:name="_Toc85206576" w:id="34"/>
      <w:bookmarkStart w:name="_Toc85206914" w:id="35"/>
      <w:bookmarkStart w:name="_Toc147759477" w:id="36"/>
      <w:bookmarkStart w:name="_Toc147830902" w:id="37"/>
      <w:r>
        <w:t>Uppföljning av vaccinationsinsatsen</w:t>
      </w:r>
      <w:bookmarkEnd w:id="34"/>
      <w:bookmarkEnd w:id="35"/>
      <w:bookmarkEnd w:id="36"/>
      <w:bookmarkEnd w:id="37"/>
    </w:p>
    <w:p w:rsidRPr="0087701A" w:rsidR="009F2294" w:rsidP="009F2294" w:rsidRDefault="009F2294" w14:paraId="0B2BDB43" w14:textId="77777777">
      <w:pPr>
        <w:spacing w:after="240"/>
        <w:rPr>
          <w:rFonts w:eastAsiaTheme="majorEastAsia"/>
        </w:rPr>
      </w:pPr>
      <w:r w:rsidRPr="29936FC1">
        <w:rPr>
          <w:rFonts w:eastAsiaTheme="majorEastAsia"/>
        </w:rPr>
        <w:t xml:space="preserve">Rapporter baserade på utdata från MittVaccin finns i Business Objects. De används som underlag till uppföljning av statistik och felrapporter. </w:t>
      </w:r>
    </w:p>
    <w:p w:rsidRPr="0087701A" w:rsidR="009F2294" w:rsidP="009F2294" w:rsidRDefault="009F2294" w14:paraId="2C8742A0" w14:textId="77777777">
      <w:pPr>
        <w:spacing w:after="240"/>
        <w:rPr>
          <w:rFonts w:eastAsiaTheme="majorEastAsia"/>
        </w:rPr>
      </w:pPr>
      <w:r w:rsidRPr="29936FC1">
        <w:rPr>
          <w:rFonts w:eastAsiaTheme="majorEastAsia"/>
        </w:rPr>
        <w:t xml:space="preserve">Uppföljningen bygger delvis på att rätt kundgrupp fylls i. Korrekt dokumentation är en förutsättning för säkerställd uppföljning.</w:t>
      </w:r>
      <w:r>
        <w:rPr>
          <w:rFonts w:eastAsiaTheme="majorEastAsia"/>
        </w:rPr>
        <w:t xml:space="preserve"/>
      </w:r>
      <w:r w:rsidRPr="29936FC1">
        <w:rPr>
          <w:rFonts w:eastAsiaTheme="majorEastAsia"/>
        </w:rPr>
        <w:t/>
      </w:r>
    </w:p>
    <w:p w:rsidR="009F2294" w:rsidP="009F2294" w:rsidRDefault="009F2294" w14:paraId="5C13D12F" w14:textId="77777777">
      <w:pPr>
        <w:pStyle w:val="Rubrik1"/>
        <w:spacing w:before="240" w:after="240"/>
      </w:pPr>
      <w:bookmarkStart w:name="_Toc147759478" w:id="38"/>
      <w:bookmarkStart w:name="_Toc147830903" w:id="39"/>
      <w:r w:rsidRPr="3F821AD2">
        <w:rPr>
          <w:rFonts w:eastAsia="Arial"/>
          <w:szCs w:val="26"/>
        </w:rPr>
        <w:t>Patientavgifter och ekonomi</w:t>
      </w:r>
      <w:bookmarkEnd w:id="38"/>
      <w:bookmarkEnd w:id="39"/>
      <w:r w:rsidRPr="3F821AD2">
        <w:rPr>
          <w:rFonts w:eastAsia="Arial"/>
          <w:szCs w:val="26"/>
        </w:rPr>
        <w:t xml:space="preserve"> </w:t>
      </w:r>
    </w:p>
    <w:p w:rsidR="009F2294" w:rsidP="009F2294" w:rsidRDefault="009F2294" w14:paraId="7F4CE8D6" w14:textId="77777777">
      <w:pPr>
        <w:spacing w:after="240"/>
        <w:rPr>
          <w:rFonts w:eastAsia="Arial"/>
        </w:rPr>
      </w:pPr>
      <w:r w:rsidRPr="71EDCDFF">
        <w:rPr>
          <w:rFonts w:eastAsia="Arial"/>
        </w:rPr>
        <w:t xml:space="preserve">Vaccination mot säsongsinfluensa är sedan 2020 avgiftsfritt i Halland för personer som rekommenderas vaccination enligt Folkhälsomyndigheten.</w:t>
      </w:r>
      <w:r>
        <w:rPr>
          <w:rFonts w:eastAsia="Arial"/>
        </w:rPr>
        <w:t/>
      </w:r>
    </w:p>
    <w:p w:rsidR="009F2294" w:rsidP="009F2294" w:rsidRDefault="009F2294" w14:paraId="448D681B" w14:textId="77777777">
      <w:pPr>
        <w:spacing w:after="240"/>
        <w:rPr>
          <w:rFonts w:eastAsia="Arial"/>
        </w:rPr>
      </w:pPr>
      <w:r w:rsidRPr="2CF4B7B9">
        <w:rPr>
          <w:rFonts w:eastAsia="Arial"/>
        </w:rPr>
        <w:t>Vaccinkostnad debiteras centralt. Stickersättningen är 30 kr per vaccination givna till personer som rekommenderas vaccination enligt Folkhälsomyndigheten. Ersättningen betalas ut i efterhand baserat på de kundgruppsdata som finns i MittVaccin.</w:t>
      </w:r>
    </w:p>
    <w:p w:rsidR="009F2294" w:rsidP="009F2294" w:rsidRDefault="009F2294" w14:paraId="7FDFB224" w14:textId="77777777">
      <w:pPr>
        <w:spacing w:after="240"/>
        <w:rPr>
          <w:rFonts w:eastAsia="Arial"/>
        </w:rPr>
      </w:pPr>
      <w:r w:rsidRPr="7C2BE432">
        <w:rPr>
          <w:rFonts w:eastAsia="Arial"/>
        </w:rPr>
        <w:t xml:space="preserve">Personer som inte ingår i definierad riskgrupp betalar avgift enligt gällande hälsovårdstaxa. Var god se </w:t>
      </w:r>
      <w:hyperlink r:id="rId24">
        <w:r w:rsidRPr="7C2BE432">
          <w:rPr>
            <w:rStyle w:val="Hyperlnk"/>
            <w:rFonts w:eastAsia="Arial"/>
          </w:rPr>
          <w:t>Avgiftshandboken</w:t>
        </w:r>
      </w:hyperlink>
      <w:r w:rsidRPr="7C2BE432">
        <w:rPr>
          <w:rFonts w:eastAsia="Arial"/>
        </w:rPr>
        <w:t xml:space="preserve"> för mer information. Vaccinkostnad kommer i efterhand att debiteras vårdenheten, baserat på de data som finns i MittVaccin, då personerna betalar för vaccinet men vårdenheten inte har köpt in vaccinet.</w:t>
      </w:r>
    </w:p>
    <w:p w:rsidR="009F2294" w:rsidP="009F2294" w:rsidRDefault="009F2294" w14:paraId="43C20338" w14:textId="77777777">
      <w:pPr>
        <w:pStyle w:val="Rubrik1"/>
        <w:spacing w:before="240" w:after="240"/>
        <w:rPr>
          <w:rFonts w:eastAsia="Arial"/>
          <w:color w:val="FF0000"/>
        </w:rPr>
      </w:pPr>
      <w:bookmarkStart w:name="_Toc85206578" w:id="40"/>
      <w:bookmarkStart w:name="_Toc85206916" w:id="41"/>
      <w:bookmarkStart w:name="_Toc147759479" w:id="42"/>
      <w:bookmarkStart w:name="_Toc147830904" w:id="43"/>
      <w:r>
        <w:t>Ordination, delegation och behörighet att administrera vaccin</w:t>
      </w:r>
      <w:bookmarkEnd w:id="40"/>
      <w:bookmarkEnd w:id="41"/>
      <w:bookmarkEnd w:id="42"/>
      <w:bookmarkEnd w:id="43"/>
    </w:p>
    <w:p w:rsidR="009F2294" w:rsidP="009F2294" w:rsidRDefault="009F2294" w14:paraId="050243CE" w14:textId="77777777">
      <w:pPr>
        <w:pStyle w:val="Rubrik1"/>
        <w:spacing w:before="240" w:after="240"/>
        <w:rPr>
          <w:sz w:val="22"/>
          <w:szCs w:val="22"/>
        </w:rPr>
      </w:pPr>
      <w:bookmarkStart w:name="_Toc147759480" w:id="44"/>
      <w:bookmarkStart w:name="_Toc147830905" w:id="45"/>
      <w:r w:rsidRPr="7C2BE432">
        <w:rPr>
          <w:sz w:val="22"/>
          <w:szCs w:val="22"/>
        </w:rPr>
        <w:t>Ordination</w:t>
      </w:r>
      <w:bookmarkEnd w:id="44"/>
      <w:bookmarkEnd w:id="45"/>
    </w:p>
    <w:p w:rsidR="009F2294" w:rsidP="009F2294" w:rsidRDefault="009F2294" w14:paraId="42EFDBC0" w14:textId="77777777">
      <w:pPr>
        <w:spacing w:after="240"/>
      </w:pPr>
      <w:r>
        <w:t>Läkare har ordinationsrätt till alla personer.</w:t>
      </w:r>
    </w:p>
    <w:p w:rsidR="009F2294" w:rsidP="009F2294" w:rsidRDefault="009F2294" w14:paraId="06CE2B25" w14:textId="77777777">
      <w:pPr>
        <w:spacing w:after="240"/>
      </w:pPr>
      <w:r>
        <w:t>Sjuksköterskor med vidareutbildning till distriktssjuksköterska eller barn- och ungdomssjuksköterska har egen ordinationsrätt för vaccination mot säsongsinfluensa till riskgrupper i nationella rekommendationer enligt 9 § i föreskriften HSLF-FS 2018:43.</w:t>
      </w:r>
    </w:p>
    <w:p w:rsidR="009F2294" w:rsidP="009F2294" w:rsidRDefault="009F2294" w14:paraId="2E59EE7A" w14:textId="77777777">
      <w:pPr>
        <w:spacing w:after="240"/>
        <w:rPr>
          <w:rFonts w:ascii="Calibri" w:hAnsi="Calibri" w:eastAsia="Calibri" w:cs="Calibri"/>
          <w:color w:val="0000FF"/>
          <w:u w:val="single"/>
        </w:rPr>
      </w:pPr>
      <w:r>
        <w:t>Sjuksköterskor som har genomgått en utbildning som ger motsvarande kompetens inom kunskapsområdet som den som distriktssköterskan eller barn- och ungdomssjuksköterskan har kan också ges i uppdrag att ordinera vaccination till riskgrupper. Uppdraget är personligt, ges av verksamhetschefen och ska vara skriftligt och tidsbegränsat. Uppdraget gäller bara i den verksamhet som verksamhetschefen är ansvarig för</w:t>
      </w:r>
      <w:r w:rsidRPr="2CF4B7B9">
        <w:rPr>
          <w:color w:val="FF0000"/>
        </w:rPr>
        <w:t xml:space="preserve"> </w:t>
      </w:r>
      <w:hyperlink r:id="rId25">
        <w:r w:rsidRPr="2CF4B7B9">
          <w:rPr>
            <w:rStyle w:val="Hyperlnk"/>
            <w:rFonts w:eastAsia="Arial"/>
          </w:rPr>
          <w:t>En uppdragsblankett som kan användas i Region Hallands verksamheter är framtagen.</w:t>
        </w:r>
      </w:hyperlink>
    </w:p>
    <w:p w:rsidR="009F2294" w:rsidP="009F2294" w:rsidRDefault="009F2294" w14:paraId="4B1E9576" w14:textId="77777777">
      <w:pPr>
        <w:pStyle w:val="Rubrik2"/>
        <w:spacing w:before="240" w:after="240"/>
        <w:rPr>
          <w:bCs/>
        </w:rPr>
      </w:pPr>
      <w:r>
        <w:t>Delegation och generell ordination</w:t>
      </w:r>
    </w:p>
    <w:p w:rsidR="009F2294" w:rsidP="009F2294" w:rsidRDefault="009F2294" w14:paraId="6F58B338" w14:textId="77777777">
      <w:pPr>
        <w:spacing w:after="240"/>
      </w:pPr>
      <w:r>
        <w:t xml:space="preserve">Ordinationsrätt kan enligt HSLF-FS 2017:37 som trädde i kraft 2018 inte delegeras. </w:t>
      </w:r>
      <w:r w:rsidRPr="00735F64">
        <w:rPr>
          <w:b/>
          <w:bCs/>
        </w:rPr>
        <w:t xml:space="preserve">Vaccination av personer som inte tillhör riskgrupp kräver därför alltid läkarordination. </w:t>
      </w:r>
      <w:r>
        <w:t>Skriftlig ordination ska alltid ges innan läkemedlet ges. Generella direktiv (“generell ordination”) ska enligt samma föreskrift användas restriktivt och omprövas återkommande. Det innebär att de inte bör användas för vaccination utan endast för situationer som uppstår sällan och där snabb läkemedelsbehandling är nödvändig av patientsäkerhetsskäl, exempelvis anafylaxibehandling.</w:t>
      </w:r>
    </w:p>
    <w:p w:rsidR="009F2294" w:rsidP="009F2294" w:rsidRDefault="009F2294" w14:paraId="38E06601" w14:textId="77777777">
      <w:pPr>
        <w:pStyle w:val="Rubrik2"/>
        <w:spacing w:before="240" w:after="240"/>
        <w:rPr>
          <w:bCs/>
        </w:rPr>
      </w:pPr>
      <w:r>
        <w:t>Behörighet att administrera vaccin</w:t>
      </w:r>
    </w:p>
    <w:p w:rsidR="009F2294" w:rsidP="009F2294" w:rsidRDefault="009F2294" w14:paraId="13B5F52E" w14:textId="77777777">
      <w:pPr>
        <w:spacing w:after="240"/>
      </w:pPr>
      <w:r>
        <w:t>Läkare, tandläkare och sjuksköterskor får administrera vaccin. Dessa yrkesgrupper kan också delegera uppgiften till den som har kompetens för att utföra uppgiften enligt 9 kap. HSLF-FS 2017:37. Delegationen är personlig, ska ske skriftligt, omprövas regelbundet och den som delegerar ansvarar för att mottagaren har förutsättningar att fullgöra uppgiften. Verksamhetschefen ansvarar för att rutinerna för delegation fungerar.</w:t>
      </w:r>
    </w:p>
    <w:p w:rsidR="009F2294" w:rsidP="009F2294" w:rsidRDefault="009F2294" w14:paraId="468B9DC2" w14:textId="77777777">
      <w:pPr>
        <w:pStyle w:val="Rubrik1"/>
        <w:spacing w:before="240" w:after="240"/>
      </w:pPr>
      <w:bookmarkStart w:name="_Toc147759481" w:id="46"/>
      <w:bookmarkStart w:name="_Toc147830906" w:id="47"/>
      <w:r>
        <w:t>Vårdhygien</w:t>
      </w:r>
      <w:bookmarkEnd w:id="46"/>
      <w:bookmarkEnd w:id="47"/>
    </w:p>
    <w:p w:rsidR="009F2294" w:rsidP="009F2294" w:rsidRDefault="00000000" w14:paraId="752FF038" w14:textId="77777777">
      <w:pPr>
        <w:spacing w:after="240"/>
      </w:pPr>
      <w:hyperlink r:id="rId26">
        <w:r w:rsidR="009F2294">
          <w:rPr>
            <w:rStyle w:val="Hyperlnk"/>
          </w:rPr>
          <w:t>Vårdriktlinjen Basala hygienrutiner och klädregler</w:t>
        </w:r>
      </w:hyperlink>
      <w:r w:rsidRPr="7C2BE432" w:rsidR="009F2294">
        <w:rPr>
          <w:color w:val="000000" w:themeColor="text1"/>
        </w:rPr>
        <w:t> tillämpas vid vaccination. Huddesinfektion är i normalfallet inte medicinskt motiverat vid vaccination. I de fall det är medicinskt motiverat (personer med nedsatt immunförsvar) används i första hand alkohol utan tillsats av klorhexidin. </w:t>
      </w:r>
    </w:p>
    <w:p w:rsidRPr="0087701A" w:rsidR="009F2294" w:rsidP="009F2294" w:rsidRDefault="009F2294" w14:paraId="4B1F7EE4" w14:textId="77777777">
      <w:pPr>
        <w:pStyle w:val="Rubrik1"/>
        <w:spacing w:before="240" w:after="240"/>
      </w:pPr>
      <w:bookmarkStart w:name="_Toc85206580" w:id="48"/>
      <w:bookmarkStart w:name="_Toc85206918" w:id="49"/>
      <w:bookmarkStart w:name="_Toc147759482" w:id="50"/>
      <w:bookmarkStart w:name="_Toc147830907" w:id="51"/>
      <w:r>
        <w:t>Vaccination vid behandling med antikoagulantia eller trombocythämmare</w:t>
      </w:r>
      <w:bookmarkEnd w:id="48"/>
      <w:bookmarkEnd w:id="49"/>
      <w:bookmarkEnd w:id="50"/>
      <w:bookmarkEnd w:id="51"/>
    </w:p>
    <w:p w:rsidR="009F2294" w:rsidP="009F2294" w:rsidRDefault="009F2294" w14:paraId="1253D60F" w14:textId="77777777">
      <w:pPr>
        <w:spacing w:after="240"/>
        <w:rPr>
          <w:rFonts w:eastAsia="Arial"/>
          <w:color w:val="000000" w:themeColor="text1"/>
        </w:rPr>
      </w:pPr>
      <w:r w:rsidRPr="7911B318">
        <w:rPr>
          <w:rFonts w:eastAsia="Arial"/>
          <w:color w:val="000000" w:themeColor="text1"/>
        </w:rPr>
        <w:t xml:space="preserve">För information om rekommenderat administrationssätt för respektive vaccin se FASS: </w:t>
      </w:r>
      <w:hyperlink r:id="rId27">
        <w:r>
          <w:rPr>
            <w:rStyle w:val="Hyperlnk"/>
            <w:rFonts w:eastAsia="Arial"/>
            <w:szCs w:val="22"/>
          </w:rPr>
          <w:t>ATC-register J07BB02 Vaccin mot influensa, renat antigen (FASS Vårdpersonal)</w:t>
        </w:r>
      </w:hyperlink>
      <w:r w:rsidRPr="001C22D9">
        <w:rPr>
          <w:rStyle w:val="Hyperlnk"/>
          <w:rFonts w:eastAsia="Arial"/>
          <w:color w:val="auto"/>
          <w:szCs w:val="22"/>
          <w:u w:val="none"/>
        </w:rPr>
        <w:t xml:space="preserve"> s</w:t>
      </w:r>
      <w:r w:rsidRPr="7911B318">
        <w:rPr>
          <w:rFonts w:eastAsia="Arial"/>
          <w:color w:val="000000" w:themeColor="text1"/>
        </w:rPr>
        <w:t xml:space="preserve">ubkutan vaccination kan ges utan hänsyn till PK (vid Waranbehandling) och utan hänsyn till när föregående dos av NOAK togs. Kompression av stickstället i 10 minuter rekommenderas. </w:t>
      </w:r>
    </w:p>
    <w:p w:rsidRPr="005453E8" w:rsidR="009F2294" w:rsidP="009F2294" w:rsidRDefault="009F2294" w14:paraId="3547C023" w14:textId="77777777">
      <w:pPr>
        <w:spacing w:after="240"/>
        <w:rPr>
          <w:rFonts w:eastAsia="Arial"/>
          <w:color w:val="0000FF"/>
          <w:szCs w:val="22"/>
          <w:u w:val="single"/>
        </w:rPr>
      </w:pPr>
      <w:r w:rsidRPr="20850CA5">
        <w:rPr>
          <w:rFonts w:eastAsia="Arial"/>
          <w:color w:val="000000" w:themeColor="text1"/>
          <w:szCs w:val="22"/>
        </w:rPr>
        <w:t xml:space="preserve">För intramuskulär administering av vaccin vid samtidig behandling med antikoagulantia eller trombocythämmare, se </w:t>
      </w:r>
      <w:hyperlink w:anchor="vaccination-och-andra-intramuskulara-injektioner-29" r:id="rId28">
        <w:r>
          <w:rPr>
            <w:rStyle w:val="Hyperlnk"/>
            <w:rFonts w:eastAsia="Arial"/>
            <w:szCs w:val="22"/>
          </w:rPr>
          <w:t>avsnittet Vaccinationer och andra intramuskulära injektioner i Terapirekommendationer Halland, kapitel Antikoagulantia</w:t>
        </w:r>
      </w:hyperlink>
      <w:r w:rsidRPr="001C22D9">
        <w:rPr>
          <w:rStyle w:val="Hyperlnk"/>
          <w:rFonts w:eastAsia="Arial"/>
          <w:color w:val="auto"/>
          <w:szCs w:val="22"/>
          <w:u w:val="none"/>
        </w:rPr>
        <w:t>.</w:t>
      </w:r>
    </w:p>
    <w:p w:rsidRPr="0087701A" w:rsidR="009F2294" w:rsidP="009F2294" w:rsidRDefault="009F2294" w14:paraId="1CA2CB85" w14:textId="77777777">
      <w:pPr>
        <w:pStyle w:val="Rubrik1"/>
        <w:spacing w:before="240" w:after="240"/>
      </w:pPr>
      <w:bookmarkStart w:name="_Toc85206581" w:id="52"/>
      <w:bookmarkStart w:name="_Toc85206919" w:id="53"/>
      <w:bookmarkStart w:name="_Toc147759483" w:id="54"/>
      <w:bookmarkStart w:name="_Toc147830908" w:id="55"/>
      <w:r>
        <w:t>Läkemedelsreaktioner</w:t>
      </w:r>
      <w:bookmarkEnd w:id="52"/>
      <w:bookmarkEnd w:id="53"/>
      <w:bookmarkEnd w:id="54"/>
      <w:bookmarkEnd w:id="55"/>
    </w:p>
    <w:p w:rsidR="009F2294" w:rsidP="009F2294" w:rsidRDefault="009F2294" w14:paraId="2C6667C3" w14:textId="77777777">
      <w:pPr>
        <w:pStyle w:val="Rubrik2"/>
        <w:spacing w:before="240" w:after="240"/>
        <w:rPr>
          <w:bCs/>
        </w:rPr>
      </w:pPr>
      <w:r>
        <w:t xml:space="preserve">Observationstid efter vaccination </w:t>
      </w:r>
    </w:p>
    <w:p w:rsidRPr="0087701A" w:rsidR="009F2294" w:rsidP="009F2294" w:rsidRDefault="009F2294" w14:paraId="6FA77163" w14:textId="77777777">
      <w:pPr>
        <w:spacing w:after="240"/>
        <w:rPr>
          <w:rFonts w:eastAsia="Garamond"/>
          <w:highlight w:val="yellow"/>
        </w:rPr>
      </w:pPr>
      <w:r w:rsidRPr="0087701A">
        <w:rPr>
          <w:rFonts w:eastAsia="Garamond"/>
        </w:rPr>
        <w:t xml:space="preserve">Det finns ingen evidens eller någon nationell rekommendation för någon specifik observationstid efter influensavaccination för friska patienter utan känd allergi. </w:t>
      </w:r>
    </w:p>
    <w:p w:rsidR="009F2294" w:rsidP="009F2294" w:rsidRDefault="009F2294" w14:paraId="05B5E319" w14:textId="77777777">
      <w:pPr>
        <w:pStyle w:val="Rubrik2"/>
        <w:spacing w:before="240" w:after="240"/>
        <w:rPr>
          <w:bCs/>
        </w:rPr>
      </w:pPr>
      <w:r>
        <w:t>Akuta reaktioner och anafylaxiberedskap</w:t>
      </w:r>
    </w:p>
    <w:p w:rsidR="009F2294" w:rsidP="009F2294" w:rsidRDefault="009F2294" w14:paraId="2DD5DA93" w14:textId="77777777">
      <w:pPr>
        <w:spacing w:after="240"/>
        <w:rPr>
          <w:color w:val="000000" w:themeColor="text1"/>
        </w:rPr>
      </w:pPr>
      <w:r w:rsidRPr="22D76B89">
        <w:rPr>
          <w:color w:val="000000" w:themeColor="text1"/>
        </w:rPr>
        <w:t>Verksamhetschefen ansvarar för att det på den enhet som utför vaccination finns akutbricka/akutväska för hantering av akut överkänslighetsreaktion samt att personalen på plats har kompetens att hantera en akut överkänslighetsreaktion (</w:t>
      </w:r>
      <w:hyperlink r:id="rId29">
        <w:r w:rsidRPr="22D76B89">
          <w:rPr>
            <w:rStyle w:val="Hyperlnk"/>
          </w:rPr>
          <w:t>SOSFS 1999:26 Socialstyrelsens föreskrifter och allmänna råd om att förebygga och ha beredskap för att behandla vissa överkänslighetsreaktioner</w:t>
        </w:r>
      </w:hyperlink>
      <w:r w:rsidRPr="22D76B89">
        <w:rPr>
          <w:color w:val="000000" w:themeColor="text1"/>
        </w:rPr>
        <w:t xml:space="preserve">).   </w:t>
      </w:r>
    </w:p>
    <w:p w:rsidR="009F2294" w:rsidP="009F2294" w:rsidRDefault="009F2294" w14:paraId="002EFE7E" w14:textId="77777777">
      <w:pPr>
        <w:spacing w:after="240"/>
        <w:rPr>
          <w:color w:val="000000" w:themeColor="text1"/>
        </w:rPr>
      </w:pPr>
      <w:r w:rsidRPr="22D76B89">
        <w:rPr>
          <w:color w:val="000000" w:themeColor="text1"/>
        </w:rPr>
        <w:t>Läkare behöver inte vara närvarande vid vaccination förutsatt att föreskriften ovan uppfylls.</w:t>
      </w:r>
    </w:p>
    <w:p w:rsidR="009F2294" w:rsidP="009F2294" w:rsidRDefault="009F2294" w14:paraId="25E5C705" w14:textId="77777777">
      <w:pPr>
        <w:pStyle w:val="Rubrik2"/>
        <w:spacing w:before="240" w:after="240"/>
      </w:pPr>
      <w:r>
        <w:t>Biverkningar och biverkningsrapportering</w:t>
      </w:r>
    </w:p>
    <w:p w:rsidR="009F2294" w:rsidP="009F2294" w:rsidRDefault="009F2294" w14:paraId="7B10DAD7" w14:textId="77777777">
      <w:pPr>
        <w:spacing w:after="240"/>
        <w:rPr>
          <w:color w:val="201F1E"/>
        </w:rPr>
      </w:pPr>
      <w:r>
        <w:t xml:space="preserve">Biverkningar efter vaccination ska utan dröjsmål rapporteras till </w:t>
      </w:r>
      <w:hyperlink r:id="rId30">
        <w:r w:rsidRPr="10EB0D13">
          <w:rPr>
            <w:rStyle w:val="Hyperlnk"/>
          </w:rPr>
          <w:t>Läkemedelsverket</w:t>
        </w:r>
      </w:hyperlink>
      <w:r>
        <w:t xml:space="preserve">.   Dokumentation av misstänkta biverkningar görs i patientens journal. </w:t>
      </w:r>
    </w:p>
    <w:p w:rsidRPr="005453E8" w:rsidR="009F2294" w:rsidP="009F2294" w:rsidRDefault="009F2294" w14:paraId="50A85208" w14:textId="77777777">
      <w:pPr>
        <w:spacing w:after="240"/>
      </w:pPr>
      <w:r>
        <w:t>Biverkningsrapportering kan, utöver den som sjukvården gör, även göras av patienten.</w:t>
      </w:r>
    </w:p>
    <w:p w:rsidR="009F2294" w:rsidP="009F2294" w:rsidRDefault="009F2294" w14:paraId="645FD458" w14:textId="77777777">
      <w:pPr>
        <w:pStyle w:val="Rubrik1"/>
        <w:spacing w:before="240" w:after="240"/>
        <w:rPr>
          <w:rFonts w:eastAsia="Arial"/>
          <w:sz w:val="22"/>
          <w:szCs w:val="22"/>
        </w:rPr>
      </w:pPr>
      <w:bookmarkStart w:name="_Toc85206582" w:id="56"/>
      <w:bookmarkStart w:name="_Toc85206920" w:id="57"/>
      <w:bookmarkStart w:name="_Toc147759484" w:id="58"/>
      <w:bookmarkStart w:name="_Toc147830909" w:id="59"/>
      <w:r>
        <w:t>Samvaccination med influensavaccin och andra vaccin, vuxna</w:t>
      </w:r>
      <w:bookmarkEnd w:id="56"/>
      <w:bookmarkEnd w:id="57"/>
      <w:bookmarkEnd w:id="58"/>
      <w:bookmarkEnd w:id="59"/>
    </w:p>
    <w:p w:rsidR="009F2294" w:rsidP="009F2294" w:rsidRDefault="009F2294" w14:paraId="4B623332" w14:textId="77777777">
      <w:pPr>
        <w:spacing w:after="240"/>
      </w:pPr>
      <w:r>
        <w:t xml:space="preserve">Se </w:t>
      </w:r>
      <w:hyperlink w:anchor="influensa-15" r:id="rId31">
        <w:r w:rsidRPr="005453E8">
          <w:rPr>
            <w:rStyle w:val="Hyperlnk"/>
            <w:rFonts w:eastAsia="Arial"/>
            <w:szCs w:val="22"/>
          </w:rPr>
          <w:t>avsnittet Influensa - samvaccination med andra vaccin i Terapirekommendationer Halland, kapitel Vacciner</w:t>
        </w:r>
      </w:hyperlink>
      <w:r w:rsidRPr="00E87850">
        <w:rPr>
          <w:rStyle w:val="Hyperlnk"/>
          <w:rFonts w:eastAsia="Arial"/>
          <w:color w:val="auto"/>
          <w:szCs w:val="22"/>
          <w:u w:val="none"/>
        </w:rPr>
        <w:t>.</w:t>
      </w:r>
    </w:p>
    <w:p w:rsidRPr="004554A9" w:rsidR="009F2294" w:rsidP="009F2294" w:rsidRDefault="009F2294" w14:paraId="1152EF57" w14:textId="77777777">
      <w:pPr>
        <w:pStyle w:val="Rubrik1"/>
        <w:spacing w:before="120" w:after="240"/>
      </w:pPr>
      <w:bookmarkStart w:name="_Toc85206584" w:id="60"/>
      <w:bookmarkStart w:name="_Toc85206922" w:id="61"/>
      <w:bookmarkStart w:name="_Toc147759486" w:id="62"/>
      <w:bookmarkStart w:name="_Toc147830910" w:id="63"/>
      <w:r>
        <w:t>Kommunikation och utbildning</w:t>
      </w:r>
      <w:bookmarkEnd w:id="60"/>
      <w:bookmarkEnd w:id="61"/>
      <w:bookmarkEnd w:id="62"/>
      <w:bookmarkEnd w:id="63"/>
    </w:p>
    <w:p w:rsidRPr="00934AAA" w:rsidR="009F2294" w:rsidP="009F2294" w:rsidRDefault="009F2294" w14:paraId="35B49ED8" w14:textId="77777777">
      <w:pPr>
        <w:spacing w:after="240"/>
      </w:pPr>
      <w:r>
        <w:t>Infobrev 1 till vårdgivare och till representanter för personalvaccination i Region Halland skickas ut i juni inför kommande säsong.</w:t>
      </w:r>
    </w:p>
    <w:p w:rsidRPr="00934AAA" w:rsidR="009F2294" w:rsidP="009F2294" w:rsidRDefault="009F2294" w14:paraId="6D3E8DD2" w14:textId="77777777">
      <w:pPr>
        <w:spacing w:after="240"/>
      </w:pPr>
      <w:r>
        <w:t>Infobrev 2 till vårdgivare och till representanter för personalvaccination i Region Halland skickas ut i september inför kommande säsong.</w:t>
      </w:r>
    </w:p>
    <w:p w:rsidRPr="00191C4A" w:rsidR="009F2294" w:rsidP="009F2294" w:rsidRDefault="009F2294" w14:paraId="13D3AAD3" w14:textId="77777777">
      <w:pPr>
        <w:spacing w:after="240"/>
      </w:pPr>
      <w:r w:rsidRPr="00191C4A">
        <w:t>Kommunikationsavdelningen på Regionkontoret ansvarar för invånarinformation:</w:t>
      </w:r>
    </w:p>
    <w:p w:rsidRPr="00191C4A" w:rsidR="009F2294" w:rsidP="009F2294" w:rsidRDefault="009F2294" w14:paraId="3A4D2C1B" w14:textId="77777777">
      <w:pPr>
        <w:pStyle w:val="Liststycke"/>
        <w:numPr>
          <w:ilvl w:val="0"/>
          <w:numId w:val="14"/>
        </w:numPr>
        <w:spacing w:after="240" w:line="245" w:lineRule="auto"/>
      </w:pPr>
      <w:r>
        <w:t>att förse vaccinerande enheter med anpassad information om säsongsinfluensavaccineringen</w:t>
      </w:r>
    </w:p>
    <w:p w:rsidRPr="00191C4A" w:rsidR="009F2294" w:rsidP="009F2294" w:rsidRDefault="009F2294" w14:paraId="3DA1DE47" w14:textId="77777777">
      <w:pPr>
        <w:pStyle w:val="Liststycke"/>
        <w:numPr>
          <w:ilvl w:val="0"/>
          <w:numId w:val="14"/>
        </w:numPr>
        <w:spacing w:after="240" w:line="245" w:lineRule="auto"/>
      </w:pPr>
      <w:r>
        <w:t>kommunikation riktad till invånarna enligt kommunikationsplan influensa.</w:t>
      </w:r>
    </w:p>
    <w:p w:rsidR="009F2294" w:rsidP="009F2294" w:rsidRDefault="009F2294" w14:paraId="05D914CD" w14:textId="77777777">
      <w:pPr>
        <w:spacing w:after="240"/>
      </w:pPr>
      <w:r>
        <w:t>Utbildningstillfällen riktade till utförare erbjuds inför insatsen.</w:t>
      </w:r>
    </w:p>
    <w:p w:rsidR="009F2294" w:rsidP="009F2294" w:rsidRDefault="009F2294" w14:paraId="73FFA921" w14:textId="77777777">
      <w:pPr>
        <w:pStyle w:val="Rubrik1"/>
        <w:spacing w:after="240"/>
      </w:pPr>
      <w:bookmarkStart w:name="_Toc85206585" w:id="64"/>
      <w:bookmarkStart w:name="_Toc85206923" w:id="65"/>
      <w:bookmarkStart w:name="_Toc147759487" w:id="66"/>
      <w:bookmarkStart w:name="_Toc147830911" w:id="67"/>
      <w:r w:rsidRPr="52293D3D">
        <w:t>Referenser</w:t>
      </w:r>
      <w:bookmarkEnd w:id="64"/>
      <w:bookmarkEnd w:id="65"/>
      <w:bookmarkEnd w:id="66"/>
      <w:bookmarkEnd w:id="67"/>
    </w:p>
    <w:p w:rsidR="009F2294" w:rsidP="009F2294" w:rsidRDefault="009F2294" w14:paraId="32083AB8" w14:textId="77777777">
      <w:pPr>
        <w:spacing w:after="240"/>
        <w:rPr>
          <w:b/>
          <w:bCs/>
        </w:rPr>
      </w:pPr>
      <w:r w:rsidRPr="52293D3D">
        <w:t xml:space="preserve">Folkhälsomyndighetens </w:t>
      </w:r>
      <w:hyperlink r:id="rId32">
        <w:r w:rsidRPr="52293D3D">
          <w:rPr>
            <w:rStyle w:val="Hyperlnk"/>
          </w:rPr>
          <w:t>Rekommendationer om influensavaccination till riskgrupper</w:t>
        </w:r>
      </w:hyperlink>
      <w:r w:rsidRPr="00E275AE">
        <w:rPr>
          <w:rStyle w:val="Hyperlnk"/>
          <w:color w:val="auto"/>
          <w:u w:val="none"/>
        </w:rPr>
        <w:t>.</w:t>
      </w:r>
    </w:p>
    <w:p w:rsidRPr="00E275AE" w:rsidR="009F2294" w:rsidP="009F2294" w:rsidRDefault="00000000" w14:paraId="00C175B2" w14:textId="77777777">
      <w:pPr>
        <w:spacing w:after="240"/>
      </w:pPr>
      <w:hyperlink r:id="rId33">
        <w:r w:rsidRPr="2CF4B7B9" w:rsidR="009F2294">
          <w:rPr>
            <w:rStyle w:val="Hyperlnk"/>
          </w:rPr>
          <w:t>Nya vacciner mot säsongsinfluensa</w:t>
        </w:r>
      </w:hyperlink>
      <w:r w:rsidR="009F2294">
        <w:rPr>
          <w:rStyle w:val="Hyperlnk"/>
          <w:color w:val="auto"/>
          <w:u w:val="none"/>
        </w:rPr>
        <w:t>.</w:t>
      </w:r>
    </w:p>
    <w:p w:rsidRPr="00E275AE" w:rsidR="009F2294" w:rsidP="009F2294" w:rsidRDefault="009F2294" w14:paraId="18CCE0C5" w14:textId="77777777">
      <w:pPr>
        <w:spacing w:after="240"/>
      </w:pPr>
      <w:r>
        <w:t xml:space="preserve">Vaccination och orala antikoagulantia </w:t>
      </w:r>
      <w:hyperlink r:id="rId34">
        <w:r w:rsidRPr="5B7672D1">
          <w:rPr>
            <w:rStyle w:val="Hyperlnk"/>
          </w:rPr>
          <w:t>Janusinfo.se</w:t>
        </w:r>
      </w:hyperlink>
      <w:r>
        <w:rPr>
          <w:rStyle w:val="Hyperlnk"/>
          <w:color w:val="auto"/>
          <w:u w:val="none"/>
        </w:rPr>
        <w:t>.</w:t>
      </w:r>
    </w:p>
    <w:p w:rsidR="00796FC3" w:rsidP="008160E0" w:rsidRDefault="00796FC3" w14:paraId="31B65B51" w14:textId="2D23460B"/>
    <w:p w:rsidRPr="006D58F3" w:rsidR="006C4A08" w:rsidP="006C4A08" w:rsidRDefault="006C4A08" w14:paraId="55B1550C" w14:textId="3D85280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00357100" w14:paraId="6CACCBE4"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206065" w:rsidR="006C4A08" w:rsidP="00206065" w:rsidRDefault="006C4A08" w14:paraId="0F18949D" w14:textId="1EEB0BE2">
            <w:pPr>
              <w:pStyle w:val="Rubrik1"/>
            </w:pPr>
            <w:bookmarkStart w:name="_Toc338760458" w:id="68"/>
            <w:bookmarkStart w:name="_Toc338760522" w:id="69"/>
            <w:bookmarkStart w:name="_Toc338760588" w:id="70"/>
            <w:bookmarkStart w:name="_Toc338760604" w:id="71"/>
            <w:bookmarkStart w:name="_Toc147830912" w:id="72"/>
            <w:r w:rsidRPr="00206065">
              <w:t>Uppdaterat från föregående version</w:t>
            </w:r>
            <w:bookmarkEnd w:id="68"/>
            <w:bookmarkEnd w:id="69"/>
            <w:bookmarkEnd w:id="70"/>
            <w:bookmarkEnd w:id="71"/>
            <w:bookmarkEnd w:id="72"/>
          </w:p>
          <w:p w:rsidR="00357100" w:rsidP="00357100" w:rsidRDefault="00357100" w14:paraId="415EF765" w14:textId="06C74107">
            <w:r>
              <w:t>2023-10-09</w:t>
            </w:r>
            <w:r w:rsidR="002B001A">
              <w:t xml:space="preserve"> </w:t>
            </w:r>
            <w:r>
              <w:t>Uppdatering av rutin för att anpassas till influensasäsongen 2023/2024.</w:t>
            </w:r>
          </w:p>
          <w:p w:rsidR="00357100" w:rsidP="00357100" w:rsidRDefault="00357100" w14:paraId="7345C0D2" w14:textId="77777777">
            <w:r>
              <w:t xml:space="preserve">Flera stycken, däribland rekommendationer och vaccin, hänvisas nu till Terapirekommendationer Halland för att undvika dubbeldokumentering. </w:t>
            </w:r>
          </w:p>
          <w:p w:rsidR="00357100" w:rsidP="00357100" w:rsidRDefault="00357100" w14:paraId="56031E0A" w14:textId="77777777"/>
          <w:p w:rsidRPr="00B15FAE" w:rsidR="00357100" w:rsidP="00357100" w:rsidRDefault="00357100" w14:paraId="50A4593F" w14:textId="77777777">
            <w:pPr>
              <w:rPr>
                <w:b/>
                <w:bCs/>
                <w:color w:val="808080" w:themeColor="background1" w:themeShade="80"/>
              </w:rPr>
            </w:pPr>
            <w:r w:rsidRPr="00766539">
              <w:rPr>
                <w:b/>
                <w:bCs/>
                <w:color w:val="808080" w:themeColor="background1" w:themeShade="80"/>
              </w:rPr>
              <w:t>Tidigare versionsuppdateringar</w:t>
            </w:r>
          </w:p>
          <w:p w:rsidRPr="005453E8" w:rsidR="00357100" w:rsidP="00357100" w:rsidRDefault="00357100" w14:paraId="508C0244" w14:textId="1D8C7BEF">
            <w:pPr>
              <w:rPr>
                <w:color w:val="808080" w:themeColor="background1" w:themeShade="80"/>
              </w:rPr>
            </w:pPr>
            <w:r w:rsidRPr="005453E8">
              <w:rPr>
                <w:color w:val="808080" w:themeColor="background1" w:themeShade="80"/>
              </w:rPr>
              <w:t>2022-11-18 Betalning Vaccination – Stå under stycket VAS innan Ingen registrering.</w:t>
            </w:r>
            <w:r w:rsidR="00B10362">
              <w:rPr>
                <w:color w:val="808080" w:themeColor="background1" w:themeShade="80"/>
              </w:rPr>
              <w:t xml:space="preserve"/>
            </w:r>
            <w:r w:rsidRPr="005453E8">
              <w:rPr>
                <w:color w:val="808080" w:themeColor="background1" w:themeShade="80"/>
                <w:szCs w:val="22"/>
              </w:rPr>
              <w:t/>
            </w:r>
          </w:p>
          <w:p w:rsidRPr="005453E8" w:rsidR="00357100" w:rsidP="00357100" w:rsidRDefault="00357100" w14:paraId="263FC6B8" w14:textId="77777777">
            <w:pPr>
              <w:rPr>
                <w:color w:val="808080" w:themeColor="background1" w:themeShade="80"/>
              </w:rPr>
            </w:pPr>
            <w:r w:rsidRPr="005453E8">
              <w:rPr>
                <w:color w:val="808080" w:themeColor="background1" w:themeShade="80"/>
                <w:szCs w:val="22"/>
              </w:rPr>
              <w:t>Vaccination som ska betalas av invånare görs via försäljning i VAS.</w:t>
            </w:r>
          </w:p>
          <w:p w:rsidRPr="005453E8" w:rsidR="00357100" w:rsidP="00357100" w:rsidRDefault="00357100" w14:paraId="77B7366A" w14:textId="77777777">
            <w:pPr>
              <w:rPr>
                <w:color w:val="808080" w:themeColor="background1" w:themeShade="80"/>
              </w:rPr>
            </w:pPr>
            <w:r w:rsidRPr="005453E8">
              <w:rPr>
                <w:color w:val="808080" w:themeColor="background1" w:themeShade="80"/>
                <w:szCs w:val="22"/>
              </w:rPr>
              <w:t>Artikel: Vaccination</w:t>
            </w:r>
          </w:p>
          <w:p w:rsidRPr="005453E8" w:rsidR="00357100" w:rsidP="00357100" w:rsidRDefault="00357100" w14:paraId="4AAF7BD7" w14:textId="77777777">
            <w:pPr>
              <w:rPr>
                <w:color w:val="808080" w:themeColor="background1" w:themeShade="80"/>
              </w:rPr>
            </w:pPr>
            <w:r w:rsidRPr="005453E8">
              <w:rPr>
                <w:color w:val="808080" w:themeColor="background1" w:themeShade="80"/>
                <w:szCs w:val="22"/>
              </w:rPr>
              <w:t>Kostnad: xx kronor</w:t>
            </w:r>
          </w:p>
          <w:p w:rsidRPr="005453E8" w:rsidR="00357100" w:rsidP="00357100" w:rsidRDefault="00357100" w14:paraId="492EC058" w14:textId="77777777">
            <w:pPr>
              <w:rPr>
                <w:color w:val="808080" w:themeColor="background1" w:themeShade="80"/>
                <w:szCs w:val="22"/>
              </w:rPr>
            </w:pPr>
            <w:r w:rsidRPr="005453E8">
              <w:rPr>
                <w:color w:val="808080" w:themeColor="background1" w:themeShade="80"/>
                <w:szCs w:val="22"/>
              </w:rPr>
              <w:t>Tagit bort: Kassa- och betallösning MittVaccin</w:t>
            </w:r>
          </w:p>
          <w:p w:rsidRPr="005453E8" w:rsidR="00357100" w:rsidP="00357100" w:rsidRDefault="00357100" w14:paraId="2195D69F" w14:textId="77777777">
            <w:pPr>
              <w:pStyle w:val="Liststycke"/>
              <w:numPr>
                <w:ilvl w:val="0"/>
                <w:numId w:val="18"/>
              </w:numPr>
              <w:spacing w:line="240" w:lineRule="exact"/>
              <w:rPr>
                <w:color w:val="808080" w:themeColor="background1" w:themeShade="80"/>
              </w:rPr>
            </w:pPr>
            <w:r w:rsidRPr="005453E8">
              <w:rPr>
                <w:rFonts w:eastAsia="Times New Roman" w:cs="Arial"/>
                <w:color w:val="808080" w:themeColor="background1" w:themeShade="80"/>
              </w:rPr>
              <w:t>Mer information kommer om detta blir aktuellt i MittVaccin eller betalning får ske via VAS.</w:t>
            </w:r>
          </w:p>
          <w:p w:rsidRPr="005453E8" w:rsidR="00357100" w:rsidP="00357100" w:rsidRDefault="00357100" w14:paraId="0FE78EB5" w14:textId="77777777">
            <w:pPr>
              <w:rPr>
                <w:color w:val="808080" w:themeColor="background1" w:themeShade="80"/>
              </w:rPr>
            </w:pPr>
            <w:r w:rsidRPr="005453E8">
              <w:rPr>
                <w:color w:val="808080" w:themeColor="background1" w:themeShade="80"/>
              </w:rPr>
              <w:t>2022-10-21 Info om att Fluad enbart ges intramuskulärt. Förtydligande under stycket Beställning av vaccin.</w:t>
            </w:r>
          </w:p>
          <w:p w:rsidRPr="005453E8" w:rsidR="00357100" w:rsidP="00357100" w:rsidRDefault="00357100" w14:paraId="46A035CB" w14:textId="6B7396BB">
            <w:pPr>
              <w:rPr>
                <w:color w:val="808080" w:themeColor="background1" w:themeShade="80"/>
              </w:rPr>
            </w:pPr>
            <w:r w:rsidRPr="005453E8">
              <w:rPr>
                <w:color w:val="808080" w:themeColor="background1" w:themeShade="80"/>
              </w:rPr>
              <w:t>2022-10-12 Länkar till information om behandling och profylax samt vårdhygien gällande influensa.</w:t>
            </w:r>
            <w:r w:rsidR="00B10362">
              <w:rPr>
                <w:color w:val="808080" w:themeColor="background1" w:themeShade="80"/>
              </w:rPr>
              <w:t xml:space="preserve"/>
            </w:r>
            <w:r w:rsidRPr="005453E8">
              <w:rPr>
                <w:color w:val="808080" w:themeColor="background1" w:themeShade="80"/>
              </w:rPr>
              <w:t/>
            </w:r>
          </w:p>
          <w:p w:rsidRPr="005453E8" w:rsidR="00357100" w:rsidP="00357100" w:rsidRDefault="00357100" w14:paraId="2AD347E0" w14:textId="77777777">
            <w:pPr>
              <w:rPr>
                <w:color w:val="808080" w:themeColor="background1" w:themeShade="80"/>
              </w:rPr>
            </w:pPr>
            <w:r w:rsidRPr="005453E8">
              <w:rPr>
                <w:color w:val="808080" w:themeColor="background1" w:themeShade="80"/>
              </w:rPr>
              <w:t>2022-09-29 Omarbetad utifrån influensasäsongen 2021/2022 (rekommendationer, vaccintyper, samvaccinering)</w:t>
            </w:r>
          </w:p>
          <w:p w:rsidRPr="005453E8" w:rsidR="00357100" w:rsidP="00357100" w:rsidRDefault="00357100" w14:paraId="06791E3E" w14:textId="77777777">
            <w:pPr>
              <w:rPr>
                <w:color w:val="808080" w:themeColor="background1" w:themeShade="80"/>
              </w:rPr>
            </w:pPr>
            <w:r w:rsidRPr="005453E8">
              <w:rPr>
                <w:color w:val="808080" w:themeColor="background1" w:themeShade="80"/>
              </w:rPr>
              <w:t>Stycket om pneumokockvaccination har förkortats, hänvisas istället till Terapirekommendationer.</w:t>
            </w:r>
          </w:p>
          <w:p w:rsidRPr="005453E8" w:rsidR="00357100" w:rsidP="00357100" w:rsidRDefault="00357100" w14:paraId="6F89D709" w14:textId="77777777">
            <w:pPr>
              <w:rPr>
                <w:color w:val="808080" w:themeColor="background1" w:themeShade="80"/>
              </w:rPr>
            </w:pPr>
            <w:r w:rsidRPr="005453E8">
              <w:rPr>
                <w:color w:val="808080" w:themeColor="background1" w:themeShade="80"/>
              </w:rPr>
              <w:t>Beställning av vaccin – nytt förfarande</w:t>
            </w:r>
          </w:p>
          <w:p w:rsidRPr="005453E8" w:rsidR="00357100" w:rsidP="00357100" w:rsidRDefault="00357100" w14:paraId="160B5C0C" w14:textId="77777777">
            <w:pPr>
              <w:rPr>
                <w:color w:val="808080" w:themeColor="background1" w:themeShade="80"/>
                <w:szCs w:val="22"/>
              </w:rPr>
            </w:pPr>
            <w:r w:rsidRPr="005453E8">
              <w:rPr>
                <w:color w:val="808080" w:themeColor="background1" w:themeShade="80"/>
                <w:szCs w:val="22"/>
              </w:rPr>
              <w:t>Personalvaccination – uppdaterad länk</w:t>
            </w:r>
          </w:p>
          <w:p w:rsidRPr="005453E8" w:rsidR="00357100" w:rsidP="00357100" w:rsidRDefault="00357100" w14:paraId="4CD701DD" w14:textId="77777777">
            <w:pPr>
              <w:rPr>
                <w:color w:val="808080" w:themeColor="background1" w:themeShade="80"/>
              </w:rPr>
            </w:pPr>
            <w:r w:rsidRPr="005453E8">
              <w:rPr>
                <w:color w:val="808080" w:themeColor="background1" w:themeShade="80"/>
              </w:rPr>
              <w:t>Tidsbokning – Drop in är återigen möjligt</w:t>
            </w:r>
          </w:p>
          <w:p w:rsidRPr="005453E8" w:rsidR="00357100" w:rsidP="00357100" w:rsidRDefault="00357100" w14:paraId="6F6F5C64" w14:textId="77777777">
            <w:pPr>
              <w:rPr>
                <w:color w:val="808080" w:themeColor="background1" w:themeShade="80"/>
              </w:rPr>
            </w:pPr>
            <w:r w:rsidRPr="005453E8">
              <w:rPr>
                <w:color w:val="808080" w:themeColor="background1" w:themeShade="80"/>
              </w:rPr>
              <w:t>Bokning i MittVaccin, direkt eller via 1177.se</w:t>
            </w:r>
          </w:p>
          <w:p w:rsidRPr="005453E8" w:rsidR="00357100" w:rsidP="00357100" w:rsidRDefault="00357100" w14:paraId="1E3851C1" w14:textId="77777777">
            <w:pPr>
              <w:rPr>
                <w:color w:val="808080" w:themeColor="background1" w:themeShade="80"/>
              </w:rPr>
            </w:pPr>
            <w:r w:rsidRPr="005453E8">
              <w:rPr>
                <w:color w:val="808080" w:themeColor="background1" w:themeShade="80"/>
              </w:rPr>
              <w:t>Uppföljning av dokumentationsinsatsen - förtydligande av vikten av att fylla i rätt kundgrupp</w:t>
            </w:r>
          </w:p>
          <w:p w:rsidRPr="005453E8" w:rsidR="00357100" w:rsidP="00357100" w:rsidRDefault="00357100" w14:paraId="71A52277" w14:textId="77777777">
            <w:pPr>
              <w:rPr>
                <w:color w:val="808080" w:themeColor="background1" w:themeShade="80"/>
                <w:szCs w:val="22"/>
              </w:rPr>
            </w:pPr>
            <w:r w:rsidRPr="005453E8">
              <w:rPr>
                <w:color w:val="808080" w:themeColor="background1" w:themeShade="80"/>
                <w:szCs w:val="22"/>
              </w:rPr>
              <w:t>Övriga invånare - kostnad för vaccination uppdaterad</w:t>
            </w:r>
          </w:p>
          <w:p w:rsidRPr="008B59F6" w:rsidR="006C4A08" w:rsidP="006C4A08" w:rsidRDefault="006C4A08" w14:paraId="45306558" w14:textId="096FC09A"/>
        </w:tc>
      </w:tr>
    </w:tbl>
    <w:p w:rsidRPr="006D58F3" w:rsidR="008B41BC" w:rsidP="00332D94" w:rsidRDefault="008B41BC" w14:paraId="00908A53" w14:textId="0D68349C"/>
    <w:sectPr w:rsidRPr="006D58F3" w:rsidR="008B41BC" w:rsidSect="00DE3A2D">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27D9" w14:textId="77777777" w:rsidR="004D7AD3" w:rsidRDefault="004D7AD3" w:rsidP="00332D94">
      <w:r>
        <w:separator/>
      </w:r>
    </w:p>
  </w:endnote>
  <w:endnote w:type="continuationSeparator" w:id="0">
    <w:p w14:paraId="17AE2B63" w14:textId="77777777" w:rsidR="004D7AD3" w:rsidRDefault="004D7AD3"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Vaccination mot säsongsinfluensa</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2023-10-25</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Garell Magnus NSVH LEDNING</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Vaccination mot säsongsinfluensa</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2023-10-25</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Garell Magnus NSVH LEDNING</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Vaccination mot säsongsinfluensa</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2023-10-25</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Garell Magnus NSVH LEDNING</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Vaccination mot säsongsinfluensa</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2023-10-25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Garell Magnus NSVH LEDNING</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92AA" w14:textId="77777777" w:rsidR="004D7AD3" w:rsidRDefault="004D7AD3" w:rsidP="00332D94">
      <w:r>
        <w:separator/>
      </w:r>
    </w:p>
  </w:footnote>
  <w:footnote w:type="continuationSeparator" w:id="0">
    <w:p w14:paraId="12BEA97A" w14:textId="77777777" w:rsidR="004D7AD3" w:rsidRDefault="004D7AD3"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E5288A"/>
    <w:multiLevelType w:val="hybridMultilevel"/>
    <w:tmpl w:val="C1E85346"/>
    <w:lvl w:ilvl="0" w:tplc="FAF04E34">
      <w:start w:val="1"/>
      <w:numFmt w:val="bullet"/>
      <w:lvlText w:val=""/>
      <w:lvlJc w:val="left"/>
      <w:pPr>
        <w:ind w:left="720" w:hanging="360"/>
      </w:pPr>
      <w:rPr>
        <w:rFonts w:ascii="Symbol" w:hAnsi="Symbol" w:hint="default"/>
      </w:rPr>
    </w:lvl>
    <w:lvl w:ilvl="1" w:tplc="AFE8C3C4">
      <w:start w:val="1"/>
      <w:numFmt w:val="bullet"/>
      <w:lvlText w:val="o"/>
      <w:lvlJc w:val="left"/>
      <w:pPr>
        <w:ind w:left="1440" w:hanging="360"/>
      </w:pPr>
      <w:rPr>
        <w:rFonts w:ascii="Courier New" w:hAnsi="Courier New" w:hint="default"/>
      </w:rPr>
    </w:lvl>
    <w:lvl w:ilvl="2" w:tplc="D2D866F2">
      <w:start w:val="1"/>
      <w:numFmt w:val="bullet"/>
      <w:lvlText w:val=""/>
      <w:lvlJc w:val="left"/>
      <w:pPr>
        <w:ind w:left="2160" w:hanging="360"/>
      </w:pPr>
      <w:rPr>
        <w:rFonts w:ascii="Wingdings" w:hAnsi="Wingdings" w:hint="default"/>
      </w:rPr>
    </w:lvl>
    <w:lvl w:ilvl="3" w:tplc="DCE4C7FE">
      <w:start w:val="1"/>
      <w:numFmt w:val="bullet"/>
      <w:lvlText w:val=""/>
      <w:lvlJc w:val="left"/>
      <w:pPr>
        <w:ind w:left="2880" w:hanging="360"/>
      </w:pPr>
      <w:rPr>
        <w:rFonts w:ascii="Symbol" w:hAnsi="Symbol" w:hint="default"/>
      </w:rPr>
    </w:lvl>
    <w:lvl w:ilvl="4" w:tplc="0E868A94">
      <w:start w:val="1"/>
      <w:numFmt w:val="bullet"/>
      <w:lvlText w:val="o"/>
      <w:lvlJc w:val="left"/>
      <w:pPr>
        <w:ind w:left="3600" w:hanging="360"/>
      </w:pPr>
      <w:rPr>
        <w:rFonts w:ascii="Courier New" w:hAnsi="Courier New" w:hint="default"/>
      </w:rPr>
    </w:lvl>
    <w:lvl w:ilvl="5" w:tplc="F560F288">
      <w:start w:val="1"/>
      <w:numFmt w:val="bullet"/>
      <w:lvlText w:val=""/>
      <w:lvlJc w:val="left"/>
      <w:pPr>
        <w:ind w:left="4320" w:hanging="360"/>
      </w:pPr>
      <w:rPr>
        <w:rFonts w:ascii="Wingdings" w:hAnsi="Wingdings" w:hint="default"/>
      </w:rPr>
    </w:lvl>
    <w:lvl w:ilvl="6" w:tplc="06F65AB2">
      <w:start w:val="1"/>
      <w:numFmt w:val="bullet"/>
      <w:lvlText w:val=""/>
      <w:lvlJc w:val="left"/>
      <w:pPr>
        <w:ind w:left="5040" w:hanging="360"/>
      </w:pPr>
      <w:rPr>
        <w:rFonts w:ascii="Symbol" w:hAnsi="Symbol" w:hint="default"/>
      </w:rPr>
    </w:lvl>
    <w:lvl w:ilvl="7" w:tplc="C24EA19A">
      <w:start w:val="1"/>
      <w:numFmt w:val="bullet"/>
      <w:lvlText w:val="o"/>
      <w:lvlJc w:val="left"/>
      <w:pPr>
        <w:ind w:left="5760" w:hanging="360"/>
      </w:pPr>
      <w:rPr>
        <w:rFonts w:ascii="Courier New" w:hAnsi="Courier New" w:hint="default"/>
      </w:rPr>
    </w:lvl>
    <w:lvl w:ilvl="8" w:tplc="35EAC8B0">
      <w:start w:val="1"/>
      <w:numFmt w:val="bullet"/>
      <w:lvlText w:val=""/>
      <w:lvlJc w:val="left"/>
      <w:pPr>
        <w:ind w:left="6480" w:hanging="360"/>
      </w:pPr>
      <w:rPr>
        <w:rFonts w:ascii="Wingdings" w:hAnsi="Wingdings" w:hint="default"/>
      </w:rPr>
    </w:lvl>
  </w:abstractNum>
  <w:abstractNum w:abstractNumId="2" w15:restartNumberingAfterBreak="0">
    <w:nsid w:val="14DA1337"/>
    <w:multiLevelType w:val="hybridMultilevel"/>
    <w:tmpl w:val="FFFFFFFF"/>
    <w:lvl w:ilvl="0" w:tplc="D23AA490">
      <w:start w:val="1"/>
      <w:numFmt w:val="bullet"/>
      <w:lvlText w:val=""/>
      <w:lvlJc w:val="left"/>
      <w:pPr>
        <w:ind w:left="720" w:hanging="360"/>
      </w:pPr>
      <w:rPr>
        <w:rFonts w:ascii="Symbol" w:hAnsi="Symbol" w:hint="default"/>
      </w:rPr>
    </w:lvl>
    <w:lvl w:ilvl="1" w:tplc="CF8256DA">
      <w:start w:val="1"/>
      <w:numFmt w:val="bullet"/>
      <w:lvlText w:val="o"/>
      <w:lvlJc w:val="left"/>
      <w:pPr>
        <w:ind w:left="1440" w:hanging="360"/>
      </w:pPr>
      <w:rPr>
        <w:rFonts w:ascii="Courier New" w:hAnsi="Courier New" w:hint="default"/>
      </w:rPr>
    </w:lvl>
    <w:lvl w:ilvl="2" w:tplc="6E308B66">
      <w:start w:val="1"/>
      <w:numFmt w:val="bullet"/>
      <w:lvlText w:val=""/>
      <w:lvlJc w:val="left"/>
      <w:pPr>
        <w:ind w:left="2160" w:hanging="360"/>
      </w:pPr>
      <w:rPr>
        <w:rFonts w:ascii="Wingdings" w:hAnsi="Wingdings" w:hint="default"/>
      </w:rPr>
    </w:lvl>
    <w:lvl w:ilvl="3" w:tplc="363282F4">
      <w:start w:val="1"/>
      <w:numFmt w:val="bullet"/>
      <w:lvlText w:val=""/>
      <w:lvlJc w:val="left"/>
      <w:pPr>
        <w:ind w:left="2880" w:hanging="360"/>
      </w:pPr>
      <w:rPr>
        <w:rFonts w:ascii="Symbol" w:hAnsi="Symbol" w:hint="default"/>
      </w:rPr>
    </w:lvl>
    <w:lvl w:ilvl="4" w:tplc="49DC0E54">
      <w:start w:val="1"/>
      <w:numFmt w:val="bullet"/>
      <w:lvlText w:val="o"/>
      <w:lvlJc w:val="left"/>
      <w:pPr>
        <w:ind w:left="3600" w:hanging="360"/>
      </w:pPr>
      <w:rPr>
        <w:rFonts w:ascii="Courier New" w:hAnsi="Courier New" w:hint="default"/>
      </w:rPr>
    </w:lvl>
    <w:lvl w:ilvl="5" w:tplc="19C060A8">
      <w:start w:val="1"/>
      <w:numFmt w:val="bullet"/>
      <w:lvlText w:val=""/>
      <w:lvlJc w:val="left"/>
      <w:pPr>
        <w:ind w:left="4320" w:hanging="360"/>
      </w:pPr>
      <w:rPr>
        <w:rFonts w:ascii="Wingdings" w:hAnsi="Wingdings" w:hint="default"/>
      </w:rPr>
    </w:lvl>
    <w:lvl w:ilvl="6" w:tplc="8D70865A">
      <w:start w:val="1"/>
      <w:numFmt w:val="bullet"/>
      <w:lvlText w:val=""/>
      <w:lvlJc w:val="left"/>
      <w:pPr>
        <w:ind w:left="5040" w:hanging="360"/>
      </w:pPr>
      <w:rPr>
        <w:rFonts w:ascii="Symbol" w:hAnsi="Symbol" w:hint="default"/>
      </w:rPr>
    </w:lvl>
    <w:lvl w:ilvl="7" w:tplc="B95445B0">
      <w:start w:val="1"/>
      <w:numFmt w:val="bullet"/>
      <w:lvlText w:val="o"/>
      <w:lvlJc w:val="left"/>
      <w:pPr>
        <w:ind w:left="5760" w:hanging="360"/>
      </w:pPr>
      <w:rPr>
        <w:rFonts w:ascii="Courier New" w:hAnsi="Courier New" w:hint="default"/>
      </w:rPr>
    </w:lvl>
    <w:lvl w:ilvl="8" w:tplc="FB9E97D4">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BC1EDC"/>
    <w:multiLevelType w:val="hybridMultilevel"/>
    <w:tmpl w:val="2AB26F82"/>
    <w:lvl w:ilvl="0" w:tplc="71C29340">
      <w:start w:val="1"/>
      <w:numFmt w:val="bullet"/>
      <w:lvlText w:val=""/>
      <w:lvlJc w:val="left"/>
      <w:pPr>
        <w:ind w:left="720" w:hanging="360"/>
      </w:pPr>
      <w:rPr>
        <w:rFonts w:ascii="Symbol" w:hAnsi="Symbol" w:hint="default"/>
      </w:rPr>
    </w:lvl>
    <w:lvl w:ilvl="1" w:tplc="87844170">
      <w:start w:val="1"/>
      <w:numFmt w:val="bullet"/>
      <w:lvlText w:val="o"/>
      <w:lvlJc w:val="left"/>
      <w:pPr>
        <w:ind w:left="1440" w:hanging="360"/>
      </w:pPr>
      <w:rPr>
        <w:rFonts w:ascii="Courier New" w:hAnsi="Courier New" w:hint="default"/>
      </w:rPr>
    </w:lvl>
    <w:lvl w:ilvl="2" w:tplc="D5443F9A">
      <w:start w:val="1"/>
      <w:numFmt w:val="bullet"/>
      <w:lvlText w:val=""/>
      <w:lvlJc w:val="left"/>
      <w:pPr>
        <w:ind w:left="2160" w:hanging="360"/>
      </w:pPr>
      <w:rPr>
        <w:rFonts w:ascii="Wingdings" w:hAnsi="Wingdings" w:hint="default"/>
      </w:rPr>
    </w:lvl>
    <w:lvl w:ilvl="3" w:tplc="84EA72A6">
      <w:start w:val="1"/>
      <w:numFmt w:val="bullet"/>
      <w:lvlText w:val=""/>
      <w:lvlJc w:val="left"/>
      <w:pPr>
        <w:ind w:left="2880" w:hanging="360"/>
      </w:pPr>
      <w:rPr>
        <w:rFonts w:ascii="Symbol" w:hAnsi="Symbol" w:hint="default"/>
      </w:rPr>
    </w:lvl>
    <w:lvl w:ilvl="4" w:tplc="DDEC5C10">
      <w:start w:val="1"/>
      <w:numFmt w:val="bullet"/>
      <w:lvlText w:val="o"/>
      <w:lvlJc w:val="left"/>
      <w:pPr>
        <w:ind w:left="3600" w:hanging="360"/>
      </w:pPr>
      <w:rPr>
        <w:rFonts w:ascii="Courier New" w:hAnsi="Courier New" w:hint="default"/>
      </w:rPr>
    </w:lvl>
    <w:lvl w:ilvl="5" w:tplc="2B58506E">
      <w:start w:val="1"/>
      <w:numFmt w:val="bullet"/>
      <w:lvlText w:val=""/>
      <w:lvlJc w:val="left"/>
      <w:pPr>
        <w:ind w:left="4320" w:hanging="360"/>
      </w:pPr>
      <w:rPr>
        <w:rFonts w:ascii="Wingdings" w:hAnsi="Wingdings" w:hint="default"/>
      </w:rPr>
    </w:lvl>
    <w:lvl w:ilvl="6" w:tplc="10FC1742">
      <w:start w:val="1"/>
      <w:numFmt w:val="bullet"/>
      <w:lvlText w:val=""/>
      <w:lvlJc w:val="left"/>
      <w:pPr>
        <w:ind w:left="5040" w:hanging="360"/>
      </w:pPr>
      <w:rPr>
        <w:rFonts w:ascii="Symbol" w:hAnsi="Symbol" w:hint="default"/>
      </w:rPr>
    </w:lvl>
    <w:lvl w:ilvl="7" w:tplc="7DB05F72">
      <w:start w:val="1"/>
      <w:numFmt w:val="bullet"/>
      <w:lvlText w:val="o"/>
      <w:lvlJc w:val="left"/>
      <w:pPr>
        <w:ind w:left="5760" w:hanging="360"/>
      </w:pPr>
      <w:rPr>
        <w:rFonts w:ascii="Courier New" w:hAnsi="Courier New" w:hint="default"/>
      </w:rPr>
    </w:lvl>
    <w:lvl w:ilvl="8" w:tplc="ECFC3D72">
      <w:start w:val="1"/>
      <w:numFmt w:val="bullet"/>
      <w:lvlText w:val=""/>
      <w:lvlJc w:val="left"/>
      <w:pPr>
        <w:ind w:left="6480" w:hanging="360"/>
      </w:pPr>
      <w:rPr>
        <w:rFonts w:ascii="Wingdings" w:hAnsi="Wingdings" w:hint="default"/>
      </w:rPr>
    </w:lvl>
  </w:abstractNum>
  <w:abstractNum w:abstractNumId="5" w15:restartNumberingAfterBreak="0">
    <w:nsid w:val="29CA6EBF"/>
    <w:multiLevelType w:val="hybridMultilevel"/>
    <w:tmpl w:val="13341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250CCE"/>
    <w:multiLevelType w:val="hybridMultilevel"/>
    <w:tmpl w:val="FF2CDDCA"/>
    <w:lvl w:ilvl="0" w:tplc="27A2FEEE">
      <w:start w:val="1"/>
      <w:numFmt w:val="bullet"/>
      <w:lvlText w:val=""/>
      <w:lvlJc w:val="left"/>
      <w:pPr>
        <w:ind w:left="720" w:hanging="360"/>
      </w:pPr>
      <w:rPr>
        <w:rFonts w:ascii="Symbol" w:hAnsi="Symbol" w:hint="default"/>
      </w:rPr>
    </w:lvl>
    <w:lvl w:ilvl="1" w:tplc="B0A419A2">
      <w:start w:val="1"/>
      <w:numFmt w:val="bullet"/>
      <w:lvlText w:val="o"/>
      <w:lvlJc w:val="left"/>
      <w:pPr>
        <w:ind w:left="1440" w:hanging="360"/>
      </w:pPr>
      <w:rPr>
        <w:rFonts w:ascii="Courier New" w:hAnsi="Courier New" w:hint="default"/>
      </w:rPr>
    </w:lvl>
    <w:lvl w:ilvl="2" w:tplc="E56CE7B2">
      <w:start w:val="1"/>
      <w:numFmt w:val="bullet"/>
      <w:lvlText w:val=""/>
      <w:lvlJc w:val="left"/>
      <w:pPr>
        <w:ind w:left="2160" w:hanging="360"/>
      </w:pPr>
      <w:rPr>
        <w:rFonts w:ascii="Wingdings" w:hAnsi="Wingdings" w:hint="default"/>
      </w:rPr>
    </w:lvl>
    <w:lvl w:ilvl="3" w:tplc="5D805CBE">
      <w:start w:val="1"/>
      <w:numFmt w:val="bullet"/>
      <w:lvlText w:val=""/>
      <w:lvlJc w:val="left"/>
      <w:pPr>
        <w:ind w:left="2880" w:hanging="360"/>
      </w:pPr>
      <w:rPr>
        <w:rFonts w:ascii="Symbol" w:hAnsi="Symbol" w:hint="default"/>
      </w:rPr>
    </w:lvl>
    <w:lvl w:ilvl="4" w:tplc="634CE3D4">
      <w:start w:val="1"/>
      <w:numFmt w:val="bullet"/>
      <w:lvlText w:val="o"/>
      <w:lvlJc w:val="left"/>
      <w:pPr>
        <w:ind w:left="3600" w:hanging="360"/>
      </w:pPr>
      <w:rPr>
        <w:rFonts w:ascii="Courier New" w:hAnsi="Courier New" w:hint="default"/>
      </w:rPr>
    </w:lvl>
    <w:lvl w:ilvl="5" w:tplc="DB78041C">
      <w:start w:val="1"/>
      <w:numFmt w:val="bullet"/>
      <w:lvlText w:val=""/>
      <w:lvlJc w:val="left"/>
      <w:pPr>
        <w:ind w:left="4320" w:hanging="360"/>
      </w:pPr>
      <w:rPr>
        <w:rFonts w:ascii="Wingdings" w:hAnsi="Wingdings" w:hint="default"/>
      </w:rPr>
    </w:lvl>
    <w:lvl w:ilvl="6" w:tplc="E9B209FE">
      <w:start w:val="1"/>
      <w:numFmt w:val="bullet"/>
      <w:lvlText w:val=""/>
      <w:lvlJc w:val="left"/>
      <w:pPr>
        <w:ind w:left="5040" w:hanging="360"/>
      </w:pPr>
      <w:rPr>
        <w:rFonts w:ascii="Symbol" w:hAnsi="Symbol" w:hint="default"/>
      </w:rPr>
    </w:lvl>
    <w:lvl w:ilvl="7" w:tplc="D234C72A">
      <w:start w:val="1"/>
      <w:numFmt w:val="bullet"/>
      <w:lvlText w:val="o"/>
      <w:lvlJc w:val="left"/>
      <w:pPr>
        <w:ind w:left="5760" w:hanging="360"/>
      </w:pPr>
      <w:rPr>
        <w:rFonts w:ascii="Courier New" w:hAnsi="Courier New" w:hint="default"/>
      </w:rPr>
    </w:lvl>
    <w:lvl w:ilvl="8" w:tplc="4E768EB4">
      <w:start w:val="1"/>
      <w:numFmt w:val="bullet"/>
      <w:lvlText w:val=""/>
      <w:lvlJc w:val="left"/>
      <w:pPr>
        <w:ind w:left="6480" w:hanging="360"/>
      </w:pPr>
      <w:rPr>
        <w:rFonts w:ascii="Wingdings" w:hAnsi="Wingdings" w:hint="default"/>
      </w:rPr>
    </w:lvl>
  </w:abstractNum>
  <w:abstractNum w:abstractNumId="8"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35F7E16"/>
    <w:multiLevelType w:val="hybridMultilevel"/>
    <w:tmpl w:val="FFFFFFFF"/>
    <w:lvl w:ilvl="0" w:tplc="C38EA3CC">
      <w:start w:val="1"/>
      <w:numFmt w:val="decimal"/>
      <w:lvlText w:val="%1."/>
      <w:lvlJc w:val="left"/>
      <w:pPr>
        <w:ind w:left="720" w:hanging="360"/>
      </w:pPr>
    </w:lvl>
    <w:lvl w:ilvl="1" w:tplc="3A6485DC">
      <w:start w:val="1"/>
      <w:numFmt w:val="lowerLetter"/>
      <w:lvlText w:val="%2."/>
      <w:lvlJc w:val="left"/>
      <w:pPr>
        <w:ind w:left="1440" w:hanging="360"/>
      </w:pPr>
    </w:lvl>
    <w:lvl w:ilvl="2" w:tplc="E6B0AFA8">
      <w:start w:val="1"/>
      <w:numFmt w:val="lowerRoman"/>
      <w:lvlText w:val="%3."/>
      <w:lvlJc w:val="right"/>
      <w:pPr>
        <w:ind w:left="2160" w:hanging="180"/>
      </w:pPr>
    </w:lvl>
    <w:lvl w:ilvl="3" w:tplc="720A7152">
      <w:start w:val="1"/>
      <w:numFmt w:val="decimal"/>
      <w:lvlText w:val="%4."/>
      <w:lvlJc w:val="left"/>
      <w:pPr>
        <w:ind w:left="2880" w:hanging="360"/>
      </w:pPr>
    </w:lvl>
    <w:lvl w:ilvl="4" w:tplc="B29ECC68">
      <w:start w:val="1"/>
      <w:numFmt w:val="lowerLetter"/>
      <w:lvlText w:val="%5."/>
      <w:lvlJc w:val="left"/>
      <w:pPr>
        <w:ind w:left="3600" w:hanging="360"/>
      </w:pPr>
    </w:lvl>
    <w:lvl w:ilvl="5" w:tplc="3D868E66">
      <w:start w:val="1"/>
      <w:numFmt w:val="lowerRoman"/>
      <w:lvlText w:val="%6."/>
      <w:lvlJc w:val="right"/>
      <w:pPr>
        <w:ind w:left="4320" w:hanging="180"/>
      </w:pPr>
    </w:lvl>
    <w:lvl w:ilvl="6" w:tplc="6DA27842">
      <w:start w:val="1"/>
      <w:numFmt w:val="decimal"/>
      <w:lvlText w:val="%7."/>
      <w:lvlJc w:val="left"/>
      <w:pPr>
        <w:ind w:left="5040" w:hanging="360"/>
      </w:pPr>
    </w:lvl>
    <w:lvl w:ilvl="7" w:tplc="EBF47172">
      <w:start w:val="1"/>
      <w:numFmt w:val="lowerLetter"/>
      <w:lvlText w:val="%8."/>
      <w:lvlJc w:val="left"/>
      <w:pPr>
        <w:ind w:left="5760" w:hanging="360"/>
      </w:pPr>
    </w:lvl>
    <w:lvl w:ilvl="8" w:tplc="9104CEDA">
      <w:start w:val="1"/>
      <w:numFmt w:val="lowerRoman"/>
      <w:lvlText w:val="%9."/>
      <w:lvlJc w:val="right"/>
      <w:pPr>
        <w:ind w:left="6480" w:hanging="180"/>
      </w:pPr>
    </w:lvl>
  </w:abstractNum>
  <w:abstractNum w:abstractNumId="14"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15:restartNumberingAfterBreak="0">
    <w:nsid w:val="7CC31DC6"/>
    <w:multiLevelType w:val="hybridMultilevel"/>
    <w:tmpl w:val="FFFFFFFF"/>
    <w:lvl w:ilvl="0" w:tplc="DE9498A8">
      <w:start w:val="1"/>
      <w:numFmt w:val="bullet"/>
      <w:lvlText w:val=""/>
      <w:lvlJc w:val="left"/>
      <w:pPr>
        <w:ind w:left="720" w:hanging="360"/>
      </w:pPr>
      <w:rPr>
        <w:rFonts w:ascii="Symbol" w:hAnsi="Symbol" w:hint="default"/>
      </w:rPr>
    </w:lvl>
    <w:lvl w:ilvl="1" w:tplc="11E85196">
      <w:start w:val="1"/>
      <w:numFmt w:val="bullet"/>
      <w:lvlText w:val="o"/>
      <w:lvlJc w:val="left"/>
      <w:pPr>
        <w:ind w:left="1440" w:hanging="360"/>
      </w:pPr>
      <w:rPr>
        <w:rFonts w:ascii="Courier New" w:hAnsi="Courier New" w:hint="default"/>
      </w:rPr>
    </w:lvl>
    <w:lvl w:ilvl="2" w:tplc="5F50D75C">
      <w:start w:val="1"/>
      <w:numFmt w:val="bullet"/>
      <w:lvlText w:val=""/>
      <w:lvlJc w:val="left"/>
      <w:pPr>
        <w:ind w:left="2160" w:hanging="360"/>
      </w:pPr>
      <w:rPr>
        <w:rFonts w:ascii="Wingdings" w:hAnsi="Wingdings" w:hint="default"/>
      </w:rPr>
    </w:lvl>
    <w:lvl w:ilvl="3" w:tplc="6A92E0B6">
      <w:start w:val="1"/>
      <w:numFmt w:val="bullet"/>
      <w:lvlText w:val=""/>
      <w:lvlJc w:val="left"/>
      <w:pPr>
        <w:ind w:left="2880" w:hanging="360"/>
      </w:pPr>
      <w:rPr>
        <w:rFonts w:ascii="Symbol" w:hAnsi="Symbol" w:hint="default"/>
      </w:rPr>
    </w:lvl>
    <w:lvl w:ilvl="4" w:tplc="4BD80DC6">
      <w:start w:val="1"/>
      <w:numFmt w:val="bullet"/>
      <w:lvlText w:val="o"/>
      <w:lvlJc w:val="left"/>
      <w:pPr>
        <w:ind w:left="3600" w:hanging="360"/>
      </w:pPr>
      <w:rPr>
        <w:rFonts w:ascii="Courier New" w:hAnsi="Courier New" w:hint="default"/>
      </w:rPr>
    </w:lvl>
    <w:lvl w:ilvl="5" w:tplc="BA54BE06">
      <w:start w:val="1"/>
      <w:numFmt w:val="bullet"/>
      <w:lvlText w:val=""/>
      <w:lvlJc w:val="left"/>
      <w:pPr>
        <w:ind w:left="4320" w:hanging="360"/>
      </w:pPr>
      <w:rPr>
        <w:rFonts w:ascii="Wingdings" w:hAnsi="Wingdings" w:hint="default"/>
      </w:rPr>
    </w:lvl>
    <w:lvl w:ilvl="6" w:tplc="5C26B070">
      <w:start w:val="1"/>
      <w:numFmt w:val="bullet"/>
      <w:lvlText w:val=""/>
      <w:lvlJc w:val="left"/>
      <w:pPr>
        <w:ind w:left="5040" w:hanging="360"/>
      </w:pPr>
      <w:rPr>
        <w:rFonts w:ascii="Symbol" w:hAnsi="Symbol" w:hint="default"/>
      </w:rPr>
    </w:lvl>
    <w:lvl w:ilvl="7" w:tplc="5EB6E7C2">
      <w:start w:val="1"/>
      <w:numFmt w:val="bullet"/>
      <w:lvlText w:val="o"/>
      <w:lvlJc w:val="left"/>
      <w:pPr>
        <w:ind w:left="5760" w:hanging="360"/>
      </w:pPr>
      <w:rPr>
        <w:rFonts w:ascii="Courier New" w:hAnsi="Courier New" w:hint="default"/>
      </w:rPr>
    </w:lvl>
    <w:lvl w:ilvl="8" w:tplc="AB9ABBC8">
      <w:start w:val="1"/>
      <w:numFmt w:val="bullet"/>
      <w:lvlText w:val=""/>
      <w:lvlJc w:val="left"/>
      <w:pPr>
        <w:ind w:left="6480" w:hanging="360"/>
      </w:pPr>
      <w:rPr>
        <w:rFonts w:ascii="Wingdings" w:hAnsi="Wingdings" w:hint="default"/>
      </w:rPr>
    </w:lvl>
  </w:abstractNum>
  <w:abstractNum w:abstractNumId="17"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14"/>
  </w:num>
  <w:num w:numId="2" w16cid:durableId="667902736">
    <w:abstractNumId w:val="17"/>
  </w:num>
  <w:num w:numId="3" w16cid:durableId="363790342">
    <w:abstractNumId w:val="15"/>
  </w:num>
  <w:num w:numId="4" w16cid:durableId="834422413">
    <w:abstractNumId w:val="6"/>
  </w:num>
  <w:num w:numId="5" w16cid:durableId="1726248919">
    <w:abstractNumId w:val="9"/>
  </w:num>
  <w:num w:numId="6" w16cid:durableId="1317415174">
    <w:abstractNumId w:val="12"/>
  </w:num>
  <w:num w:numId="7" w16cid:durableId="1608537834">
    <w:abstractNumId w:val="3"/>
  </w:num>
  <w:num w:numId="8" w16cid:durableId="852963810">
    <w:abstractNumId w:val="10"/>
  </w:num>
  <w:num w:numId="9" w16cid:durableId="270820804">
    <w:abstractNumId w:val="11"/>
  </w:num>
  <w:num w:numId="10" w16cid:durableId="554585705">
    <w:abstractNumId w:val="8"/>
  </w:num>
  <w:num w:numId="11" w16cid:durableId="170488212">
    <w:abstractNumId w:val="0"/>
  </w:num>
  <w:num w:numId="12" w16cid:durableId="1479498941">
    <w:abstractNumId w:val="4"/>
  </w:num>
  <w:num w:numId="13" w16cid:durableId="18164715">
    <w:abstractNumId w:val="13"/>
  </w:num>
  <w:num w:numId="14" w16cid:durableId="401297270">
    <w:abstractNumId w:val="2"/>
  </w:num>
  <w:num w:numId="15" w16cid:durableId="2004774863">
    <w:abstractNumId w:val="7"/>
  </w:num>
  <w:num w:numId="16" w16cid:durableId="1575973730">
    <w:abstractNumId w:val="1"/>
  </w:num>
  <w:num w:numId="17" w16cid:durableId="1137263296">
    <w:abstractNumId w:val="5"/>
  </w:num>
  <w:num w:numId="18" w16cid:durableId="13489422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52D99"/>
    <w:rsid w:val="00060751"/>
    <w:rsid w:val="00071C4D"/>
    <w:rsid w:val="00087B68"/>
    <w:rsid w:val="000920E5"/>
    <w:rsid w:val="000B0C89"/>
    <w:rsid w:val="000D6F1B"/>
    <w:rsid w:val="00167844"/>
    <w:rsid w:val="0018206E"/>
    <w:rsid w:val="00206065"/>
    <w:rsid w:val="00225E0B"/>
    <w:rsid w:val="00246F62"/>
    <w:rsid w:val="00256277"/>
    <w:rsid w:val="00271080"/>
    <w:rsid w:val="002B001A"/>
    <w:rsid w:val="002C0068"/>
    <w:rsid w:val="002D0241"/>
    <w:rsid w:val="002E0A96"/>
    <w:rsid w:val="00306A86"/>
    <w:rsid w:val="00332D94"/>
    <w:rsid w:val="00357100"/>
    <w:rsid w:val="003A2FF6"/>
    <w:rsid w:val="003C5B41"/>
    <w:rsid w:val="003D2710"/>
    <w:rsid w:val="003E537C"/>
    <w:rsid w:val="003F798A"/>
    <w:rsid w:val="00400514"/>
    <w:rsid w:val="00406C20"/>
    <w:rsid w:val="00407AC7"/>
    <w:rsid w:val="004625ED"/>
    <w:rsid w:val="00467DA5"/>
    <w:rsid w:val="00483C86"/>
    <w:rsid w:val="004A3801"/>
    <w:rsid w:val="004A4717"/>
    <w:rsid w:val="004B7D05"/>
    <w:rsid w:val="004C0BC6"/>
    <w:rsid w:val="004D7AD3"/>
    <w:rsid w:val="005140DE"/>
    <w:rsid w:val="005275FA"/>
    <w:rsid w:val="005A23BD"/>
    <w:rsid w:val="005D151B"/>
    <w:rsid w:val="005D7908"/>
    <w:rsid w:val="00614116"/>
    <w:rsid w:val="00633C84"/>
    <w:rsid w:val="00647E41"/>
    <w:rsid w:val="00651802"/>
    <w:rsid w:val="006534D8"/>
    <w:rsid w:val="00661E42"/>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2294"/>
    <w:rsid w:val="009F76CD"/>
    <w:rsid w:val="00A33719"/>
    <w:rsid w:val="00A479E9"/>
    <w:rsid w:val="00A502C3"/>
    <w:rsid w:val="00A72D18"/>
    <w:rsid w:val="00A82C54"/>
    <w:rsid w:val="00AA26E9"/>
    <w:rsid w:val="00AB0079"/>
    <w:rsid w:val="00AB14D2"/>
    <w:rsid w:val="00AB2F14"/>
    <w:rsid w:val="00B10362"/>
    <w:rsid w:val="00B2523E"/>
    <w:rsid w:val="00B36834"/>
    <w:rsid w:val="00B97D9B"/>
    <w:rsid w:val="00BB2B5C"/>
    <w:rsid w:val="00BD0566"/>
    <w:rsid w:val="00BD31C6"/>
    <w:rsid w:val="00C00DD4"/>
    <w:rsid w:val="00C1580D"/>
    <w:rsid w:val="00C17F9A"/>
    <w:rsid w:val="00C4332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A3EBF"/>
    <w:rsid w:val="00FC382C"/>
    <w:rsid w:val="00FE4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trackRevisions w:val="true"/>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customStyle="1" w:styleId="Rubrik3Char">
    <w:name w:val="Rubrik 3 Char"/>
    <w:basedOn w:val="Standardstycketeckensnitt"/>
    <w:link w:val="Rubrik3"/>
    <w:rsid w:val="009F2294"/>
    <w:rPr>
      <w:rFonts w:ascii="Arial" w:hAnsi="Arial" w:cs="Arial"/>
      <w:sz w:val="22"/>
      <w:szCs w:val="26"/>
    </w:rPr>
  </w:style>
  <w:style w:type="character" w:customStyle="1" w:styleId="Rubrik2Char">
    <w:name w:val="Rubrik 2 Char"/>
    <w:basedOn w:val="Standardstycketeckensnitt"/>
    <w:link w:val="Rubrik2"/>
    <w:rsid w:val="009F2294"/>
    <w:rPr>
      <w:rFonts w:ascii="Arial" w:hAnsi="Arial" w:cs="Arial"/>
      <w:b/>
      <w:sz w:val="22"/>
      <w:szCs w:val="26"/>
    </w:rPr>
  </w:style>
  <w:style w:type="character" w:customStyle="1" w:styleId="eop">
    <w:name w:val="eop"/>
    <w:basedOn w:val="Standardstycketeckensnitt"/>
    <w:rsid w:val="009F2294"/>
  </w:style>
  <w:style w:type="paragraph" w:customStyle="1" w:styleId="paragraph">
    <w:name w:val="paragraph"/>
    <w:basedOn w:val="Normal"/>
    <w:rsid w:val="009F229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rdstycketeckensnitt"/>
    <w:rsid w:val="009F2294"/>
  </w:style>
  <w:style w:type="character" w:customStyle="1" w:styleId="Rubrik1Char1">
    <w:name w:val="Rubrik 1 Char1"/>
    <w:basedOn w:val="Standardstycketeckensnitt"/>
    <w:rsid w:val="009F2294"/>
    <w:rPr>
      <w:rFonts w:ascii="Arial" w:eastAsia="Calibri" w:hAnsi="Arial" w:cs="Arial"/>
      <w:b/>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erapirek.regionhalland.se/terapirekommendationer/kapitel23/vacciner-mot-sjukdomar-i-bokstavsordning/" TargetMode="External"/><Relationship Id="rId26" Type="http://schemas.openxmlformats.org/officeDocument/2006/relationships/hyperlink" Target="https://vardgivare.regionhalland.se/app/plugins/region-halland-api-styrda-dokument/download/get_dokument.php?documentGUID=RH-13828" TargetMode="External"/><Relationship Id="rId39" Type="http://schemas.openxmlformats.org/officeDocument/2006/relationships/header" Target="header6.xml"/><Relationship Id="rId21" Type="http://schemas.openxmlformats.org/officeDocument/2006/relationships/hyperlink" Target="https://rh.sharepoint.com/sites/Personal_och_arbetsmiljo/ODMPublished/RH-13280/Vaccination%20influensa.pdf" TargetMode="External"/><Relationship Id="rId34" Type="http://schemas.openxmlformats.org/officeDocument/2006/relationships/hyperlink" Target="https://janusinfo.se/behandling/expertgruppsutlatanden/koagulationssjukdomarochplasmaprodukter/koagulationssjukdomarochplasmaprodukter/vaccinationochoralaantikoagulantia.5.78ae827d1605526e94b8fd4f.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rh.sharepoint.com/sites/Personal_och_arbetsmiljo/ODMPublished/RH-13280/Vaccination%20influensa.pdf" TargetMode="External"/><Relationship Id="rId29" Type="http://schemas.openxmlformats.org/officeDocument/2006/relationships/hyperlink" Target="https://www.socialstyrelsen.se/kunskapsstod-och-regler/regler-och-riktlinjer/foreskrifter-och-allmanna-rad/konsoliderade-foreskrifter/199926-om-att-forebygga-och-ha-beredskap-for-att-behandla-vissa-overkanslighetsreaktio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ardgivare.regionhalland.se/vardadministration/avgiftshandboken/" TargetMode="External"/><Relationship Id="rId32" Type="http://schemas.openxmlformats.org/officeDocument/2006/relationships/hyperlink" Target="https://www.folkhalsomyndigheten.se/publicerat-material/publikationsarkiv/r/rekommendationer-om-influensavaccination-till-riskgrupper/"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vardgivare.regionhalland.se/app/plugins/region-halland-api-styrda-dokument/download/get_dokument.php?documentGUID=RH-12229" TargetMode="External"/><Relationship Id="rId28" Type="http://schemas.openxmlformats.org/officeDocument/2006/relationships/hyperlink" Target="https://terapirek.regionhalland.se/terapirekommendationer/antikoagulantia/antikoagulantia/"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rh.sharepoint.com/sites/VR_Barn/ODMPublished/RH-4429/Influensavaccination.pdf" TargetMode="External"/><Relationship Id="rId31" Type="http://schemas.openxmlformats.org/officeDocument/2006/relationships/hyperlink" Target="https://terapirek.regionhalland.se/terapirekommendationer/kapitel23/vacciner-mot-sjukdomar-i-bokstavsord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ardgivare.regionhalland.se/tjanster-it-stod/it-stod-och-system/mittvaccin/" TargetMode="External"/><Relationship Id="rId27" Type="http://schemas.openxmlformats.org/officeDocument/2006/relationships/hyperlink" Target="https://www.fass.se/LIF/atcregister?userType=0&amp;atcCode=J07BB02" TargetMode="External"/><Relationship Id="rId30" Type="http://schemas.openxmlformats.org/officeDocument/2006/relationships/hyperlink" Target="https://www.lakemedelsverket.se/sv/rapportera-biverkningar/lakemedel"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terapirek.regionhalland.se/terapirekommendationer/kapitel23/vacciner-mot-sjukdomar-i-bokstavsordning/" TargetMode="External"/><Relationship Id="rId25" Type="http://schemas.openxmlformats.org/officeDocument/2006/relationships/hyperlink" Target="https://rh.sharepoint.com/:w:/r/sites/Kvalitet/_layouts/15/WopiFrame.aspx?sourcedoc=%7b9a7f743a-e807-486f-b4e3-925f1d57fbcf%7d" TargetMode="External"/><Relationship Id="rId33" Type="http://schemas.openxmlformats.org/officeDocument/2006/relationships/hyperlink" Target="https://www.folkhalsomyndigheten.se/publicerat-material/publikationsarkiv/n/nya-vacciner-mot-sasongsinfluensa/" TargetMode="Externa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f91eaa97-12b4-48ca-bb5d-730850bf2078"/>
    <ds:schemaRef ds:uri="003a27f2-ed6f-4c82-8901-c5004401fa85"/>
    <ds:schemaRef ds:uri="http://schemas.microsoft.com/office/infopath/2007/PartnerControls"/>
  </ds:schemaRefs>
</ds:datastoreItem>
</file>

<file path=customXml/itemProps2.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3601</Words>
  <Characters>19088</Characters>
  <Application>Microsoft Office Word</Application>
  <DocSecurity>0</DocSecurity>
  <Lines>159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Grunddokument</vt:lpstr>
      <vt:lpstr>Grunddokument</vt:lpstr>
    </vt:vector>
  </TitlesOfParts>
  <Company>Microsoft</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Johanna RGS</dc:creator>
  <cp:lastModifiedBy>Lindhult Helena RK HÄLSO- OCH SJUKVÅRD</cp:lastModifiedBy>
  <cp:revision>47</cp:revision>
  <cp:lastPrinted>2013-06-04T11:54:00Z</cp:lastPrinted>
  <dcterms:created xsi:type="dcterms:W3CDTF">2023-01-16T08:47:00Z</dcterms:created>
  <dcterms:modified xsi:type="dcterms:W3CDTF">2023-10-10T09:50:00Z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