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FB02" w14:textId="4D9CD771" w:rsidR="006E7AEB" w:rsidRPr="005E2C51" w:rsidRDefault="00FF13AF" w:rsidP="00ED18CE">
      <w:pPr>
        <w:pStyle w:val="Title"/>
      </w:pPr>
      <w:r w:rsidRPr="005E2C51">
        <w:t>ID-kontroll patient</w:t>
      </w:r>
    </w:p>
    <w:p w14:paraId="1719F979" w14:textId="77777777" w:rsidR="009E3F28" w:rsidRDefault="00ED18CE" w:rsidP="00ED18CE">
      <w:pPr>
        <w:rPr>
          <w:noProof/>
        </w:rPr>
      </w:pPr>
      <w:bookmarkStart w:id="0" w:name="_Toc338760609"/>
      <w:bookmarkStart w:id="1" w:name="_Toc338760600"/>
      <w:bookmarkStart w:id="2" w:name="_Toc338760584"/>
      <w:bookmarkStart w:id="3" w:name="_Toc338760518"/>
      <w:bookmarkStart w:id="4" w:name="_Toc338760454"/>
      <w:bookmarkStart w:id="5" w:name="_Toc341891088"/>
      <w:r w:rsidRPr="00BB743B">
        <w:rPr>
          <w:sz w:val="22"/>
          <w:szCs w:val="22"/>
        </w:rPr>
        <w:br/>
      </w:r>
      <w:r w:rsidRPr="00BB743B">
        <w:rPr>
          <w:b/>
          <w:noProof/>
          <w:sz w:val="22"/>
          <w:szCs w:val="22"/>
          <w:lang w:eastAsia="sv-SE"/>
        </w:rPr>
        <mc:AlternateContent>
          <mc:Choice Requires="wps">
            <w:drawing>
              <wp:anchor distT="0" distB="0" distL="114300" distR="114300" simplePos="0" relativeHeight="251657216" behindDoc="0" locked="0" layoutInCell="1" allowOverlap="1" wp14:anchorId="5B0C3110" wp14:editId="7DC324C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61F97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r w:rsidRPr="00BB743B">
        <w:rPr>
          <w:b/>
          <w:sz w:val="22"/>
          <w:szCs w:val="22"/>
        </w:rPr>
        <w:t>Hitta i dokumentet</w:t>
      </w:r>
      <w:r w:rsidRPr="00BB743B">
        <w:rPr>
          <w:sz w:val="22"/>
          <w:szCs w:val="22"/>
        </w:rPr>
        <w:fldChar w:fldCharType="begin"/>
      </w:r>
      <w:r w:rsidRPr="00BB743B">
        <w:rPr>
          <w:sz w:val="22"/>
          <w:szCs w:val="22"/>
        </w:rPr>
        <w:instrText xml:space="preserve"> TOC \o "1-1" \n \h \z \u </w:instrText>
      </w:r>
      <w:r w:rsidRPr="00BB743B">
        <w:rPr>
          <w:sz w:val="22"/>
          <w:szCs w:val="22"/>
        </w:rPr>
        <w:fldChar w:fldCharType="separate"/>
      </w:r>
    </w:p>
    <w:p w14:paraId="2B4CF046" w14:textId="326AB97B"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06" w:history="1">
        <w:r w:rsidR="009E3F28" w:rsidRPr="009E3F28">
          <w:rPr>
            <w:rStyle w:val="Hyperlink"/>
            <w:sz w:val="16"/>
            <w:szCs w:val="16"/>
          </w:rPr>
          <w:t>Syfte</w:t>
        </w:r>
      </w:hyperlink>
    </w:p>
    <w:p w14:paraId="41AA87CB" w14:textId="00F03678"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07" w:history="1">
        <w:r w:rsidR="009E3F28" w:rsidRPr="009E3F28">
          <w:rPr>
            <w:rStyle w:val="Hyperlink"/>
            <w:sz w:val="16"/>
            <w:szCs w:val="16"/>
          </w:rPr>
          <w:t>Bakgrund</w:t>
        </w:r>
      </w:hyperlink>
    </w:p>
    <w:p w14:paraId="462852D5" w14:textId="610F2411"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08" w:history="1">
        <w:r w:rsidR="009E3F28" w:rsidRPr="009E3F28">
          <w:rPr>
            <w:rStyle w:val="Hyperlink"/>
            <w:sz w:val="16"/>
            <w:szCs w:val="16"/>
          </w:rPr>
          <w:t>Problem med identifiering</w:t>
        </w:r>
      </w:hyperlink>
    </w:p>
    <w:p w14:paraId="13FE984A" w14:textId="77256E50"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09" w:history="1">
        <w:r w:rsidR="009E3F28" w:rsidRPr="009E3F28">
          <w:rPr>
            <w:rStyle w:val="Hyperlink"/>
            <w:sz w:val="16"/>
            <w:szCs w:val="16"/>
          </w:rPr>
          <w:t>Anonym provtagning för hivinfektion</w:t>
        </w:r>
      </w:hyperlink>
    </w:p>
    <w:p w14:paraId="2924F95E" w14:textId="68D98EE1"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0" w:history="1">
        <w:r w:rsidR="009E3F28" w:rsidRPr="009E3F28">
          <w:rPr>
            <w:rStyle w:val="Hyperlink"/>
            <w:sz w:val="16"/>
            <w:szCs w:val="16"/>
          </w:rPr>
          <w:t>Legitimering och kontaktuppgifter</w:t>
        </w:r>
      </w:hyperlink>
    </w:p>
    <w:p w14:paraId="0A7F649E" w14:textId="4B283D2C"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1" w:history="1">
        <w:r w:rsidR="009E3F28" w:rsidRPr="009E3F28">
          <w:rPr>
            <w:rStyle w:val="Hyperlink"/>
            <w:sz w:val="16"/>
            <w:szCs w:val="16"/>
          </w:rPr>
          <w:t>Informationsmaterial – affisch och skylt</w:t>
        </w:r>
      </w:hyperlink>
    </w:p>
    <w:p w14:paraId="5443B03A" w14:textId="10E24876"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2" w:history="1">
        <w:r w:rsidR="009E3F28" w:rsidRPr="009E3F28">
          <w:rPr>
            <w:rStyle w:val="Hyperlink"/>
            <w:sz w:val="16"/>
            <w:szCs w:val="16"/>
          </w:rPr>
          <w:t>Giltiga legitimationer</w:t>
        </w:r>
      </w:hyperlink>
    </w:p>
    <w:p w14:paraId="43CC8F11" w14:textId="0367C247"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3" w:history="1">
        <w:r w:rsidR="009E3F28" w:rsidRPr="009E3F28">
          <w:rPr>
            <w:rStyle w:val="Hyperlink"/>
            <w:sz w:val="16"/>
            <w:szCs w:val="16"/>
          </w:rPr>
          <w:t>Reservnummer ska användas</w:t>
        </w:r>
      </w:hyperlink>
    </w:p>
    <w:p w14:paraId="19994B88" w14:textId="6FBF83A1"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4" w:history="1">
        <w:r w:rsidR="009E3F28" w:rsidRPr="009E3F28">
          <w:rPr>
            <w:rStyle w:val="Hyperlink"/>
            <w:sz w:val="16"/>
            <w:szCs w:val="16"/>
          </w:rPr>
          <w:t>Telefonkontakt</w:t>
        </w:r>
      </w:hyperlink>
    </w:p>
    <w:p w14:paraId="28F35768" w14:textId="582E1669"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5" w:history="1">
        <w:r w:rsidR="009E3F28" w:rsidRPr="009E3F28">
          <w:rPr>
            <w:rStyle w:val="Hyperlink"/>
            <w:sz w:val="16"/>
            <w:szCs w:val="16"/>
          </w:rPr>
          <w:t>Id-kontroll genom vårdprocessen</w:t>
        </w:r>
      </w:hyperlink>
    </w:p>
    <w:p w14:paraId="1A6CF0B3" w14:textId="5EE95EAD"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6" w:history="1">
        <w:r w:rsidR="009E3F28" w:rsidRPr="009E3F28">
          <w:rPr>
            <w:rStyle w:val="Hyperlink"/>
            <w:sz w:val="16"/>
            <w:szCs w:val="16"/>
          </w:rPr>
          <w:t>Bilagor</w:t>
        </w:r>
      </w:hyperlink>
    </w:p>
    <w:p w14:paraId="605AB42E" w14:textId="2B6FEB8B" w:rsidR="009E3F28" w:rsidRPr="009E3F28" w:rsidRDefault="00763D12">
      <w:pPr>
        <w:pStyle w:val="TOC1"/>
        <w:tabs>
          <w:tab w:val="right" w:leader="dot" w:pos="9062"/>
        </w:tabs>
        <w:rPr>
          <w:rFonts w:asciiTheme="minorHAnsi" w:eastAsiaTheme="minorEastAsia" w:hAnsiTheme="minorHAnsi" w:cstheme="minorBidi"/>
          <w:sz w:val="12"/>
          <w:szCs w:val="12"/>
        </w:rPr>
      </w:pPr>
      <w:hyperlink w:anchor="_Toc108418617" w:history="1">
        <w:r w:rsidR="009E3F28" w:rsidRPr="009E3F28">
          <w:rPr>
            <w:rStyle w:val="Hyperlink"/>
            <w:sz w:val="16"/>
            <w:szCs w:val="16"/>
          </w:rPr>
          <w:t>Uppdaterat från föregående version</w:t>
        </w:r>
      </w:hyperlink>
    </w:p>
    <w:p w14:paraId="056050E6" w14:textId="54042CA4" w:rsidR="00ED18CE" w:rsidRPr="00BB743B" w:rsidRDefault="00ED18CE" w:rsidP="00ED18CE">
      <w:pPr>
        <w:rPr>
          <w:sz w:val="22"/>
          <w:szCs w:val="22"/>
        </w:rPr>
      </w:pPr>
      <w:r w:rsidRPr="00BB743B">
        <w:rPr>
          <w:sz w:val="22"/>
          <w:szCs w:val="22"/>
        </w:rPr>
        <w:fldChar w:fldCharType="end"/>
      </w:r>
      <w:r w:rsidRPr="00BB743B">
        <w:rPr>
          <w:b/>
          <w:noProof/>
          <w:sz w:val="22"/>
          <w:szCs w:val="22"/>
          <w:lang w:eastAsia="sv-SE"/>
        </w:rPr>
        <mc:AlternateContent>
          <mc:Choice Requires="wps">
            <w:drawing>
              <wp:anchor distT="0" distB="0" distL="114300" distR="114300" simplePos="0" relativeHeight="251659264" behindDoc="0" locked="0" layoutInCell="1" allowOverlap="1" wp14:anchorId="4266CAB2" wp14:editId="7C7AF7C9">
                <wp:simplePos x="0" y="0"/>
                <wp:positionH relativeFrom="column">
                  <wp:posOffset>11430</wp:posOffset>
                </wp:positionH>
                <wp:positionV relativeFrom="paragraph">
                  <wp:posOffset>143007</wp:posOffset>
                </wp:positionV>
                <wp:extent cx="5569536" cy="0"/>
                <wp:effectExtent l="0" t="0" r="12700" b="19050"/>
                <wp:wrapNone/>
                <wp:docPr id="11" name="Rak 11"/>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9pt,11.25pt" to="439.45pt,11.25pt" w14:anchorId="681E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"/>
            </w:pict>
          </mc:Fallback>
        </mc:AlternateContent>
      </w:r>
    </w:p>
    <w:p w14:paraId="057F08C5" w14:textId="77777777" w:rsidR="00ED18CE" w:rsidRDefault="00ED18CE" w:rsidP="006E7AEB">
      <w:pPr>
        <w:pStyle w:val="Heading1"/>
      </w:pPr>
    </w:p>
    <w:p w14:paraId="053918D7" w14:textId="77777777" w:rsidR="005E2C51" w:rsidRDefault="005E2C51" w:rsidP="005E2C51">
      <w:pPr>
        <w:pStyle w:val="Heading1"/>
      </w:pPr>
      <w:bookmarkStart w:id="6" w:name="_Toc474324239"/>
      <w:bookmarkStart w:id="7" w:name="_Toc108418606"/>
      <w:bookmarkEnd w:id="0"/>
      <w:bookmarkEnd w:id="1"/>
      <w:bookmarkEnd w:id="2"/>
      <w:bookmarkEnd w:id="3"/>
      <w:bookmarkEnd w:id="4"/>
      <w:bookmarkEnd w:id="5"/>
      <w:r w:rsidRPr="009C4947">
        <w:rPr>
          <w:sz w:val="28"/>
        </w:rPr>
        <w:t>Syfte</w:t>
      </w:r>
      <w:bookmarkEnd w:id="6"/>
      <w:bookmarkEnd w:id="7"/>
    </w:p>
    <w:p w14:paraId="7A7A998A" w14:textId="77777777" w:rsidR="005E2C51" w:rsidRPr="00BB743B" w:rsidRDefault="005E2C51" w:rsidP="005E2C51">
      <w:bookmarkStart w:id="8" w:name="_Toc341891089"/>
      <w:r w:rsidRPr="00BB743B">
        <w:t>Att säkerställa patientens identitet och kontaktuppgifter och förhindra förväxling av patienter.</w:t>
      </w:r>
    </w:p>
    <w:p w14:paraId="4C612E21" w14:textId="77777777" w:rsidR="005E2C51" w:rsidRPr="00BB743B" w:rsidRDefault="005E2C51" w:rsidP="005E2C51">
      <w:pPr>
        <w:rPr>
          <w:sz w:val="22"/>
          <w:szCs w:val="22"/>
        </w:rPr>
      </w:pPr>
    </w:p>
    <w:p w14:paraId="47339083" w14:textId="77777777" w:rsidR="005E2C51" w:rsidRPr="000E165F" w:rsidRDefault="005E2C51" w:rsidP="005E2C51">
      <w:pPr>
        <w:pStyle w:val="Heading1"/>
        <w:rPr>
          <w:sz w:val="28"/>
        </w:rPr>
      </w:pPr>
      <w:bookmarkStart w:id="9" w:name="_Toc474324240"/>
      <w:bookmarkStart w:id="10" w:name="_Toc108418607"/>
      <w:r w:rsidRPr="000E165F">
        <w:rPr>
          <w:sz w:val="28"/>
        </w:rPr>
        <w:t>Bakgrund</w:t>
      </w:r>
      <w:bookmarkEnd w:id="9"/>
      <w:bookmarkEnd w:id="10"/>
    </w:p>
    <w:p w14:paraId="203BDA58" w14:textId="77777777" w:rsidR="005E2C51" w:rsidRPr="005E2C51" w:rsidRDefault="005E2C51" w:rsidP="005E2C51">
      <w:pPr>
        <w:pStyle w:val="ListParagraph"/>
        <w:numPr>
          <w:ilvl w:val="0"/>
          <w:numId w:val="4"/>
        </w:numPr>
        <w:rPr>
          <w:rFonts w:cs="Arial"/>
        </w:rPr>
      </w:pPr>
      <w:r w:rsidRPr="00847A61">
        <w:rPr>
          <w:rFonts w:cs="Arial"/>
        </w:rPr>
        <w:t xml:space="preserve">Enligt patientdatalagen SFS 2008:355 ska patientjournalen innehålla uppgift om patientens identitet. </w:t>
      </w:r>
    </w:p>
    <w:p w14:paraId="333412E6" w14:textId="77777777" w:rsidR="005E2C51" w:rsidRPr="005E2C51" w:rsidRDefault="005E2C51" w:rsidP="005E2C51">
      <w:pPr>
        <w:pStyle w:val="ListParagraph"/>
        <w:numPr>
          <w:ilvl w:val="0"/>
          <w:numId w:val="4"/>
        </w:numPr>
        <w:rPr>
          <w:rFonts w:cs="Arial"/>
        </w:rPr>
      </w:pPr>
      <w:r w:rsidRPr="005E2C51">
        <w:rPr>
          <w:rFonts w:cs="Arial"/>
        </w:rPr>
        <w:t xml:space="preserve">I Socialstyrelsens föreskrifter (HSLF- FS 2016:40) om informationshantering och journalföring anges bland annat att rutinerna för dokumentation av patientuppgifter ska säkerställa att dokumentationen förses med en entydig personidentifikation och att rutinerna även ska säkerställa att det är möjligt att föra patientjournal när en patients identitet inte kan fastställas. </w:t>
      </w:r>
    </w:p>
    <w:p w14:paraId="6FC5CC7B" w14:textId="77777777" w:rsidR="005E2C51" w:rsidRPr="00847A61" w:rsidRDefault="005E2C51" w:rsidP="005E2C51">
      <w:pPr>
        <w:pStyle w:val="ListParagraph"/>
        <w:numPr>
          <w:ilvl w:val="0"/>
          <w:numId w:val="4"/>
        </w:numPr>
        <w:rPr>
          <w:rFonts w:cs="Arial"/>
        </w:rPr>
      </w:pPr>
      <w:r w:rsidRPr="005E2C51">
        <w:rPr>
          <w:rFonts w:cs="Arial"/>
        </w:rPr>
        <w:t>I</w:t>
      </w:r>
      <w:r w:rsidRPr="005E2C51">
        <w:rPr>
          <w:rFonts w:cs="Arial"/>
          <w:b/>
          <w:bCs/>
        </w:rPr>
        <w:t xml:space="preserve"> </w:t>
      </w:r>
      <w:r w:rsidRPr="005E2C51">
        <w:rPr>
          <w:rFonts w:cs="Arial"/>
        </w:rPr>
        <w:t>Socialstyrelsens handbok till bestämmelserna i föreskrifterna anges bland annat att det är viktigt att alla journalhandlingar i patientjournalen är försedda med en entydig personidentifikation och kontaktuppgifter, såsom för- och efternamn samt personnummer, men att det inte är möjligt att neka en patient nödvändig vård för att hans eller hennes identitet inte kan fastställas (4 § hälso- och sjukvårdslagen).</w:t>
      </w:r>
    </w:p>
    <w:p w14:paraId="12427D1A" w14:textId="77777777" w:rsidR="005E2C51" w:rsidRPr="00847A61" w:rsidRDefault="005E2C51" w:rsidP="005E2C51">
      <w:pPr>
        <w:pStyle w:val="Heading1"/>
        <w:rPr>
          <w:sz w:val="28"/>
        </w:rPr>
      </w:pPr>
      <w:bookmarkStart w:id="11" w:name="_Toc474324241"/>
      <w:bookmarkStart w:id="12" w:name="_Toc108418608"/>
      <w:r w:rsidRPr="00847A61">
        <w:rPr>
          <w:sz w:val="28"/>
        </w:rPr>
        <w:t>Problem med identifiering</w:t>
      </w:r>
      <w:bookmarkEnd w:id="11"/>
      <w:bookmarkEnd w:id="12"/>
    </w:p>
    <w:p w14:paraId="1BC61003" w14:textId="77777777" w:rsidR="005E2C51" w:rsidRPr="000E165F" w:rsidRDefault="005E2C51" w:rsidP="005E2C51">
      <w:pPr>
        <w:rPr>
          <w:sz w:val="22"/>
          <w:szCs w:val="22"/>
        </w:rPr>
      </w:pPr>
      <w:r w:rsidRPr="000E165F">
        <w:rPr>
          <w:sz w:val="22"/>
          <w:szCs w:val="22"/>
        </w:rPr>
        <w:t xml:space="preserve">Det förekommer att patienter som anlitar allmän hälso- och sjukvård använder person-uppgifter som avser en helt annan person och att detta sker medvetet. Därför är det viktigt att alla sjukvårdsinrättningar har fastställda och säkra rutiner för identitetskontroll av patienter. </w:t>
      </w:r>
    </w:p>
    <w:p w14:paraId="1860F418" w14:textId="77777777" w:rsidR="005E2C51" w:rsidRPr="000E165F" w:rsidRDefault="005E2C51" w:rsidP="005E2C51">
      <w:pPr>
        <w:rPr>
          <w:sz w:val="22"/>
          <w:szCs w:val="22"/>
        </w:rPr>
      </w:pPr>
    </w:p>
    <w:p w14:paraId="5A810E9D" w14:textId="77777777" w:rsidR="005E2C51" w:rsidRPr="000E165F" w:rsidRDefault="005E2C51" w:rsidP="005E2C51">
      <w:pPr>
        <w:rPr>
          <w:sz w:val="22"/>
          <w:szCs w:val="22"/>
        </w:rPr>
      </w:pPr>
      <w:r w:rsidRPr="000E165F">
        <w:rPr>
          <w:sz w:val="22"/>
          <w:szCs w:val="22"/>
        </w:rPr>
        <w:t xml:space="preserve">Problem med någons identitet får aldrig bli hinder för att utifrån patientens behov ge en god och säker vård då så bedöms nödvändig. Om någon inte vill uppge personnummer räcker det inte ensamt för att inte erbjuda patienten vård. Om däremot någon inte vill uppge person-nummer och personens identitet inte heller kan fastställas på annat sätt kan vård nekas om den inte bedöms nödvändig. </w:t>
      </w:r>
    </w:p>
    <w:p w14:paraId="241A8B55" w14:textId="77777777" w:rsidR="005E2C51" w:rsidRPr="000E165F" w:rsidRDefault="005E2C51" w:rsidP="005E2C51">
      <w:pPr>
        <w:rPr>
          <w:sz w:val="22"/>
          <w:szCs w:val="22"/>
        </w:rPr>
      </w:pPr>
      <w:r w:rsidRPr="000E165F">
        <w:rPr>
          <w:sz w:val="22"/>
          <w:szCs w:val="22"/>
        </w:rPr>
        <w:lastRenderedPageBreak/>
        <w:t>Om vård har getts till patient, som velat vara anonym och var identitet inte heller kunnat fastställas på annat sätt, ska detta dokumenteras i journalen. Reservnummer-id ska då tillämpas, se särskild rubrik nedan.</w:t>
      </w:r>
    </w:p>
    <w:p w14:paraId="295FFDBE" w14:textId="77777777" w:rsidR="005E2C51" w:rsidRPr="000E165F" w:rsidRDefault="005E2C51" w:rsidP="005E2C51">
      <w:pPr>
        <w:rPr>
          <w:sz w:val="22"/>
          <w:szCs w:val="22"/>
        </w:rPr>
      </w:pPr>
    </w:p>
    <w:p w14:paraId="62962EE6" w14:textId="77777777" w:rsidR="005E2C51" w:rsidRPr="00847A61" w:rsidRDefault="005E2C51" w:rsidP="005E2C51">
      <w:pPr>
        <w:pStyle w:val="Heading1"/>
        <w:rPr>
          <w:sz w:val="28"/>
        </w:rPr>
      </w:pPr>
      <w:bookmarkStart w:id="13" w:name="_Toc474324242"/>
      <w:bookmarkStart w:id="14" w:name="_Toc108418609"/>
      <w:r w:rsidRPr="00847A61">
        <w:rPr>
          <w:sz w:val="28"/>
        </w:rPr>
        <w:t>Anonym provtagning för hivinfektion</w:t>
      </w:r>
      <w:bookmarkEnd w:id="13"/>
      <w:bookmarkEnd w:id="14"/>
    </w:p>
    <w:p w14:paraId="36921555" w14:textId="77777777" w:rsidR="005E2C51" w:rsidRPr="000E165F" w:rsidRDefault="005E2C51" w:rsidP="005E2C51">
      <w:pPr>
        <w:autoSpaceDE w:val="0"/>
        <w:autoSpaceDN w:val="0"/>
        <w:adjustRightInd w:val="0"/>
        <w:spacing w:line="240" w:lineRule="auto"/>
        <w:rPr>
          <w:sz w:val="22"/>
          <w:szCs w:val="22"/>
        </w:rPr>
      </w:pPr>
      <w:r w:rsidRPr="000E165F">
        <w:rPr>
          <w:sz w:val="22"/>
          <w:szCs w:val="22"/>
        </w:rPr>
        <w:t>I förordningen om provtagning för hivinfektion (SFS 2008:363) står att provtagning, om patienten begär det, kan utföras anonymt.</w:t>
      </w:r>
    </w:p>
    <w:p w14:paraId="1D492750" w14:textId="77777777" w:rsidR="005E2C51" w:rsidRPr="004B2BFA" w:rsidRDefault="005E2C51" w:rsidP="005E2C51">
      <w:pPr>
        <w:rPr>
          <w:color w:val="FF0000"/>
          <w:sz w:val="22"/>
          <w:szCs w:val="22"/>
        </w:rPr>
      </w:pPr>
    </w:p>
    <w:p w14:paraId="1A75DBD7" w14:textId="77777777" w:rsidR="005E2C51" w:rsidRPr="00847A61" w:rsidRDefault="005E2C51" w:rsidP="005E2C51">
      <w:pPr>
        <w:pStyle w:val="Heading1"/>
      </w:pPr>
      <w:bookmarkStart w:id="15" w:name="_Toc474324243"/>
      <w:bookmarkStart w:id="16" w:name="_Toc108418610"/>
      <w:r w:rsidRPr="00847A61">
        <w:rPr>
          <w:sz w:val="28"/>
        </w:rPr>
        <w:t>Legitimering</w:t>
      </w:r>
      <w:bookmarkEnd w:id="8"/>
      <w:r>
        <w:rPr>
          <w:sz w:val="28"/>
        </w:rPr>
        <w:t xml:space="preserve"> och kontaktuppgifter</w:t>
      </w:r>
      <w:bookmarkEnd w:id="15"/>
      <w:bookmarkEnd w:id="16"/>
      <w:r w:rsidRPr="00847A61">
        <w:t xml:space="preserve"> </w:t>
      </w:r>
    </w:p>
    <w:p w14:paraId="367F8E4A" w14:textId="77777777" w:rsidR="005E2C51" w:rsidRPr="00401B6D" w:rsidRDefault="005E2C51" w:rsidP="005E2C51">
      <w:pPr>
        <w:rPr>
          <w:sz w:val="22"/>
          <w:szCs w:val="22"/>
        </w:rPr>
      </w:pPr>
      <w:r>
        <w:rPr>
          <w:sz w:val="22"/>
          <w:szCs w:val="22"/>
        </w:rPr>
        <w:t xml:space="preserve">Id-kontroll (visad fotolegitimation) ska ske vid alla besök. Detta gäller även patienter som av religiösa eller andra skäl har täckt ansikte. I de fallen får personalen be patienten att gå med på att göra kontroll av legitimation i enskilt rum.  </w:t>
      </w:r>
      <w:bookmarkStart w:id="17" w:name="_Toc341891090"/>
    </w:p>
    <w:p w14:paraId="568275C9" w14:textId="77777777" w:rsidR="005E2C51" w:rsidRPr="00BB743B" w:rsidRDefault="005E2C51" w:rsidP="005E2C51">
      <w:pPr>
        <w:rPr>
          <w:sz w:val="22"/>
          <w:szCs w:val="22"/>
        </w:rPr>
      </w:pPr>
    </w:p>
    <w:p w14:paraId="65ED961B" w14:textId="77777777" w:rsidR="005E2C51" w:rsidRPr="00BB743B" w:rsidRDefault="005E2C51" w:rsidP="005E2C51">
      <w:pPr>
        <w:rPr>
          <w:sz w:val="22"/>
          <w:szCs w:val="22"/>
        </w:rPr>
      </w:pPr>
      <w:r>
        <w:rPr>
          <w:sz w:val="22"/>
          <w:szCs w:val="22"/>
        </w:rPr>
        <w:t xml:space="preserve">Om centralkassa finns ska id-kontroll ske både i kassan och på den mottagning patienten ska besöka. Den uppvisade id-handlingen ska noggrant kontrolleras beträffande äkthet. Särskilt bör kontrolleras att handlingen inte bär spår av förändring beträffande personuppgifter och foto.  </w:t>
      </w:r>
    </w:p>
    <w:p w14:paraId="66A46DD6" w14:textId="77777777" w:rsidR="005E2C51" w:rsidRPr="00BB743B" w:rsidRDefault="005E2C51" w:rsidP="005E2C51">
      <w:pPr>
        <w:rPr>
          <w:sz w:val="22"/>
          <w:szCs w:val="22"/>
        </w:rPr>
      </w:pPr>
    </w:p>
    <w:p w14:paraId="4D169763" w14:textId="77777777" w:rsidR="005E2C51" w:rsidRPr="00BB743B" w:rsidRDefault="005E2C51" w:rsidP="005E2C51">
      <w:pPr>
        <w:pStyle w:val="ListParagraph"/>
        <w:numPr>
          <w:ilvl w:val="0"/>
          <w:numId w:val="1"/>
        </w:numPr>
        <w:rPr>
          <w:rFonts w:cs="Arial"/>
        </w:rPr>
      </w:pPr>
      <w:r>
        <w:rPr>
          <w:rFonts w:cs="Arial"/>
        </w:rPr>
        <w:t xml:space="preserve">Id-handling plockas ut ur fodral av medarbetare/uppdragstagare.  </w:t>
      </w:r>
    </w:p>
    <w:p w14:paraId="76BA9956" w14:textId="77777777" w:rsidR="005E2C51" w:rsidRPr="00BB743B" w:rsidRDefault="005E2C51" w:rsidP="005E2C51">
      <w:pPr>
        <w:pStyle w:val="ListParagraph"/>
        <w:numPr>
          <w:ilvl w:val="0"/>
          <w:numId w:val="1"/>
        </w:numPr>
        <w:rPr>
          <w:rFonts w:cs="Arial"/>
        </w:rPr>
      </w:pPr>
      <w:r w:rsidRPr="00BB743B">
        <w:rPr>
          <w:rFonts w:cs="Arial"/>
        </w:rPr>
        <w:t xml:space="preserve">Personbedömning – finns det anledning att vara misstänksam?  </w:t>
      </w:r>
    </w:p>
    <w:p w14:paraId="6F99796A" w14:textId="77777777" w:rsidR="005E2C51" w:rsidRPr="00BB743B" w:rsidRDefault="005E2C51" w:rsidP="005E2C51">
      <w:pPr>
        <w:pStyle w:val="ListParagraph"/>
        <w:numPr>
          <w:ilvl w:val="0"/>
          <w:numId w:val="1"/>
        </w:numPr>
        <w:rPr>
          <w:rFonts w:cs="Arial"/>
        </w:rPr>
      </w:pPr>
      <w:r w:rsidRPr="00BB743B">
        <w:rPr>
          <w:rFonts w:cs="Arial"/>
        </w:rPr>
        <w:t xml:space="preserve">Titta först på individen – därefter på id-handlingen - jämför.  </w:t>
      </w:r>
    </w:p>
    <w:p w14:paraId="6DD3DD67" w14:textId="77777777" w:rsidR="005E2C51" w:rsidRPr="00BB743B" w:rsidRDefault="005E2C51" w:rsidP="005E2C51">
      <w:pPr>
        <w:pStyle w:val="ListParagraph"/>
        <w:numPr>
          <w:ilvl w:val="0"/>
          <w:numId w:val="1"/>
        </w:numPr>
        <w:rPr>
          <w:rFonts w:cs="Arial"/>
        </w:rPr>
      </w:pPr>
      <w:r w:rsidRPr="00BB743B">
        <w:rPr>
          <w:rFonts w:cs="Arial"/>
        </w:rPr>
        <w:t xml:space="preserve">Kontrollera id-handling – inte ändrad eller skadad - kontrollera giltighetstid.  </w:t>
      </w:r>
    </w:p>
    <w:p w14:paraId="73E1A908" w14:textId="77777777" w:rsidR="005E2C51" w:rsidRPr="005E2C51" w:rsidRDefault="005E2C51" w:rsidP="005E2C51">
      <w:pPr>
        <w:pStyle w:val="ListParagraph"/>
        <w:numPr>
          <w:ilvl w:val="0"/>
          <w:numId w:val="1"/>
        </w:numPr>
        <w:rPr>
          <w:rFonts w:cs="Arial"/>
        </w:rPr>
      </w:pPr>
      <w:r w:rsidRPr="005E2C51">
        <w:rPr>
          <w:rFonts w:cs="Arial"/>
        </w:rPr>
        <w:t>Lämna tillbaka id-handling.</w:t>
      </w:r>
    </w:p>
    <w:p w14:paraId="331E9869" w14:textId="1622685D" w:rsidR="005E2C51" w:rsidRPr="005E2C51" w:rsidRDefault="005E2C51" w:rsidP="005E2C51">
      <w:pPr>
        <w:rPr>
          <w:rFonts w:cs="Arial"/>
        </w:rPr>
      </w:pPr>
      <w:r w:rsidRPr="005E2C51">
        <w:rPr>
          <w:rFonts w:cs="Arial"/>
        </w:rPr>
        <w:t>I samband med ID-kontroll tillfrågas patienten om kontaktuppgifter (telefonnummer, adress) i journalsystemet är korrekta.</w:t>
      </w:r>
    </w:p>
    <w:p w14:paraId="37C9BB67" w14:textId="77777777" w:rsidR="005E2C51" w:rsidRPr="00847A61" w:rsidRDefault="005E2C51" w:rsidP="005E2C51">
      <w:pPr>
        <w:rPr>
          <w:rFonts w:cs="Arial"/>
        </w:rPr>
      </w:pPr>
    </w:p>
    <w:p w14:paraId="51272E4A" w14:textId="77777777" w:rsidR="005E2C51" w:rsidRPr="00847A61" w:rsidRDefault="005E2C51" w:rsidP="005E2C51">
      <w:pPr>
        <w:pStyle w:val="Heading1"/>
        <w:rPr>
          <w:sz w:val="28"/>
        </w:rPr>
      </w:pPr>
      <w:bookmarkStart w:id="18" w:name="_Toc474324244"/>
      <w:bookmarkStart w:id="19" w:name="_Toc108418611"/>
      <w:r w:rsidRPr="00847A61">
        <w:rPr>
          <w:sz w:val="28"/>
        </w:rPr>
        <w:t>Informationsmaterial – affisch och skylt</w:t>
      </w:r>
      <w:bookmarkEnd w:id="18"/>
      <w:bookmarkEnd w:id="19"/>
    </w:p>
    <w:p w14:paraId="6727BED9" w14:textId="77777777" w:rsidR="005E2C51" w:rsidRDefault="005E2C51" w:rsidP="005E2C51">
      <w:pPr>
        <w:rPr>
          <w:rFonts w:cs="Arial"/>
        </w:rPr>
      </w:pPr>
      <w:r>
        <w:rPr>
          <w:rFonts w:cs="Arial"/>
        </w:rPr>
        <w:t xml:space="preserve">I väntrum och vid platser där legitimering sker bör affischen och informationsskylten </w:t>
      </w:r>
      <w:r w:rsidRPr="004158A7">
        <w:rPr>
          <w:rFonts w:cs="Arial"/>
          <w:i/>
        </w:rPr>
        <w:t>Vänligen visa legitimation!</w:t>
      </w:r>
      <w:r>
        <w:rPr>
          <w:rFonts w:cs="Arial"/>
        </w:rPr>
        <w:t xml:space="preserve"> finnas uppsatta. </w:t>
      </w:r>
    </w:p>
    <w:p w14:paraId="7AD16F3C" w14:textId="77777777" w:rsidR="005E2C51" w:rsidRDefault="005E2C51" w:rsidP="005E2C51">
      <w:pPr>
        <w:rPr>
          <w:rFonts w:cs="Arial"/>
        </w:rPr>
      </w:pPr>
    </w:p>
    <w:p w14:paraId="4FA539EC" w14:textId="77777777" w:rsidR="005E2C51" w:rsidRPr="004158A7" w:rsidRDefault="00763D12" w:rsidP="005E2C51">
      <w:pPr>
        <w:rPr>
          <w:rFonts w:cs="Arial"/>
        </w:rPr>
      </w:pPr>
      <w:hyperlink r:id="rId12" w:history="1">
        <w:r w:rsidR="005E2C51" w:rsidRPr="00FB65BB">
          <w:rPr>
            <w:rStyle w:val="Hyperlink"/>
            <w:rFonts w:cs="Arial"/>
          </w:rPr>
          <w:t>Affisch</w:t>
        </w:r>
      </w:hyperlink>
      <w:r w:rsidR="005E2C51" w:rsidRPr="00FB65BB">
        <w:rPr>
          <w:rFonts w:cs="Arial"/>
        </w:rPr>
        <w:t xml:space="preserve"> och </w:t>
      </w:r>
      <w:hyperlink r:id="rId13" w:history="1">
        <w:r w:rsidR="005E2C51" w:rsidRPr="00FB65BB">
          <w:rPr>
            <w:rStyle w:val="Hyperlink"/>
            <w:rFonts w:cs="Arial"/>
          </w:rPr>
          <w:t>informationsskylt</w:t>
        </w:r>
      </w:hyperlink>
      <w:r w:rsidR="005E2C51" w:rsidRPr="00FB65BB">
        <w:rPr>
          <w:rFonts w:cs="Arial"/>
        </w:rPr>
        <w:t xml:space="preserve"> beställs via formulär på Region Hallands webbplats.</w:t>
      </w:r>
    </w:p>
    <w:p w14:paraId="001F03E9" w14:textId="77777777" w:rsidR="009857F8" w:rsidRPr="009857F8" w:rsidRDefault="009857F8" w:rsidP="005E2C51"/>
    <w:p w14:paraId="758EAB1B" w14:textId="1930EB3E" w:rsidR="009857F8" w:rsidRDefault="009857F8" w:rsidP="009857F8">
      <w:pPr>
        <w:pStyle w:val="Heading1"/>
        <w:rPr>
          <w:sz w:val="28"/>
        </w:rPr>
      </w:pPr>
      <w:bookmarkStart w:id="20" w:name="_Toc474324245"/>
      <w:bookmarkStart w:id="21" w:name="_Toc108418612"/>
      <w:bookmarkEnd w:id="17"/>
      <w:r>
        <w:rPr>
          <w:sz w:val="28"/>
        </w:rPr>
        <w:t>Giltiga legitimationer</w:t>
      </w:r>
      <w:bookmarkEnd w:id="20"/>
      <w:bookmarkEnd w:id="21"/>
    </w:p>
    <w:p w14:paraId="04BD5E5A" w14:textId="77777777" w:rsidR="009857F8" w:rsidRPr="009857F8" w:rsidRDefault="009857F8" w:rsidP="009857F8"/>
    <w:p w14:paraId="2B7B442B" w14:textId="77777777" w:rsidR="009857F8" w:rsidRPr="00EA74B0" w:rsidRDefault="009857F8" w:rsidP="009857F8">
      <w:pPr>
        <w:rPr>
          <w:b/>
        </w:rPr>
      </w:pPr>
      <w:r w:rsidRPr="00EA74B0">
        <w:rPr>
          <w:b/>
        </w:rPr>
        <w:t>Svenskt körkort</w:t>
      </w:r>
    </w:p>
    <w:p w14:paraId="32F30083" w14:textId="77777777" w:rsidR="009857F8" w:rsidRPr="00BB743B" w:rsidRDefault="009857F8" w:rsidP="009857F8">
      <w:pPr>
        <w:pStyle w:val="ListParagraph"/>
        <w:numPr>
          <w:ilvl w:val="0"/>
          <w:numId w:val="1"/>
        </w:numPr>
        <w:rPr>
          <w:rFonts w:cs="Arial"/>
        </w:rPr>
      </w:pPr>
      <w:r w:rsidRPr="00BB743B">
        <w:rPr>
          <w:rFonts w:cs="Arial"/>
        </w:rPr>
        <w:t>Svenska körkort håller hög standard ur identifieringssynpunkt och är därför sedan länge en allmänt accepterad id-handling i Sverige.</w:t>
      </w:r>
    </w:p>
    <w:p w14:paraId="2F6761BB" w14:textId="77777777" w:rsidR="009857F8" w:rsidRPr="00EA74B0" w:rsidRDefault="009857F8" w:rsidP="009857F8">
      <w:pPr>
        <w:rPr>
          <w:b/>
        </w:rPr>
      </w:pPr>
      <w:r w:rsidRPr="00EA74B0">
        <w:rPr>
          <w:b/>
        </w:rPr>
        <w:t>Pass</w:t>
      </w:r>
    </w:p>
    <w:p w14:paraId="2C1D08FE" w14:textId="77777777" w:rsidR="009857F8" w:rsidRPr="00BB743B" w:rsidRDefault="009857F8" w:rsidP="009857F8">
      <w:pPr>
        <w:pStyle w:val="ListParagraph"/>
        <w:numPr>
          <w:ilvl w:val="0"/>
          <w:numId w:val="1"/>
        </w:numPr>
        <w:rPr>
          <w:rFonts w:cs="Arial"/>
        </w:rPr>
      </w:pPr>
      <w:r w:rsidRPr="00BB743B">
        <w:rPr>
          <w:rFonts w:cs="Arial"/>
        </w:rPr>
        <w:t xml:space="preserve">Vinrött pass, så kallat e-pass; utfärdas från och med den 1 oktober 2005. Passet innehåller ett chip i vilket bland annat passfotot är lagrat för biometrisk verifiering av innehavaren. </w:t>
      </w:r>
    </w:p>
    <w:p w14:paraId="140B1F34" w14:textId="67C0B57D" w:rsidR="009857F8" w:rsidRPr="00FB65BB" w:rsidRDefault="009857F8" w:rsidP="009857F8">
      <w:pPr>
        <w:pStyle w:val="ListParagraph"/>
        <w:numPr>
          <w:ilvl w:val="0"/>
          <w:numId w:val="1"/>
        </w:numPr>
        <w:rPr>
          <w:rFonts w:cs="Arial"/>
        </w:rPr>
      </w:pPr>
      <w:r w:rsidRPr="00BB743B">
        <w:rPr>
          <w:rFonts w:cs="Arial"/>
        </w:rPr>
        <w:t>Andra giltiga pass, till exempel personer bosatta utanför Sverige.</w:t>
      </w:r>
    </w:p>
    <w:p w14:paraId="09B8C604" w14:textId="77777777" w:rsidR="009857F8" w:rsidRPr="00EA74B0" w:rsidRDefault="009857F8" w:rsidP="009857F8">
      <w:pPr>
        <w:rPr>
          <w:b/>
        </w:rPr>
      </w:pPr>
      <w:r w:rsidRPr="00EA74B0">
        <w:rPr>
          <w:b/>
        </w:rPr>
        <w:t>Identitetskort</w:t>
      </w:r>
    </w:p>
    <w:p w14:paraId="10913CCE" w14:textId="77777777" w:rsidR="009857F8" w:rsidRPr="00BB743B" w:rsidRDefault="009857F8" w:rsidP="009857F8">
      <w:pPr>
        <w:numPr>
          <w:ilvl w:val="0"/>
          <w:numId w:val="2"/>
        </w:numPr>
        <w:rPr>
          <w:rFonts w:eastAsia="Calibri" w:cs="Arial"/>
          <w:sz w:val="22"/>
          <w:szCs w:val="22"/>
        </w:rPr>
      </w:pPr>
      <w:r w:rsidRPr="00BB743B">
        <w:rPr>
          <w:rFonts w:eastAsia="Calibri" w:cs="Arial"/>
          <w:sz w:val="22"/>
          <w:szCs w:val="22"/>
        </w:rPr>
        <w:t xml:space="preserve">Nationellt id-kort gäller för personer bosatta inom Schengen och finns från och med den 1 oktober 2005. </w:t>
      </w:r>
    </w:p>
    <w:p w14:paraId="2ED66AE7" w14:textId="77777777" w:rsidR="009857F8" w:rsidRPr="00BB743B" w:rsidRDefault="009857F8" w:rsidP="009857F8">
      <w:pPr>
        <w:numPr>
          <w:ilvl w:val="0"/>
          <w:numId w:val="3"/>
        </w:numPr>
        <w:rPr>
          <w:rFonts w:eastAsia="Calibri" w:cs="Arial"/>
          <w:sz w:val="22"/>
          <w:szCs w:val="22"/>
        </w:rPr>
      </w:pPr>
      <w:r w:rsidRPr="00BB743B">
        <w:rPr>
          <w:rFonts w:eastAsia="Calibri" w:cs="Arial"/>
          <w:sz w:val="22"/>
          <w:szCs w:val="22"/>
        </w:rPr>
        <w:t xml:space="preserve">Id-kort för folkbokförda i Sverige. Utfärdas av Skatteverket.  </w:t>
      </w:r>
    </w:p>
    <w:p w14:paraId="72CFDF01" w14:textId="2960AC2F" w:rsidR="009857F8" w:rsidRDefault="009857F8" w:rsidP="009857F8">
      <w:pPr>
        <w:numPr>
          <w:ilvl w:val="0"/>
          <w:numId w:val="3"/>
        </w:numPr>
        <w:rPr>
          <w:rFonts w:eastAsia="Calibri" w:cs="Arial"/>
          <w:sz w:val="22"/>
          <w:szCs w:val="22"/>
        </w:rPr>
      </w:pPr>
      <w:r w:rsidRPr="00BB743B">
        <w:rPr>
          <w:rFonts w:eastAsia="Calibri" w:cs="Arial"/>
          <w:sz w:val="22"/>
          <w:szCs w:val="22"/>
        </w:rPr>
        <w:t>SIS-märkta id-kort utfärdas av banker, vissa företag och statliga myndigheter.</w:t>
      </w:r>
      <w:r>
        <w:rPr>
          <w:rFonts w:eastAsia="Calibri" w:cs="Arial"/>
          <w:sz w:val="22"/>
          <w:szCs w:val="22"/>
        </w:rPr>
        <w:br/>
        <w:t>(Svenska Institutet för Standarder SIS och Det Norske Veritas DNV beslutar om id-kortets utformning och utfärdande).</w:t>
      </w:r>
    </w:p>
    <w:p w14:paraId="2BAB2752" w14:textId="77777777" w:rsidR="009857F8" w:rsidRDefault="009857F8" w:rsidP="009857F8">
      <w:pPr>
        <w:rPr>
          <w:rFonts w:eastAsia="Calibri" w:cs="Arial"/>
          <w:sz w:val="22"/>
          <w:szCs w:val="22"/>
        </w:rPr>
      </w:pPr>
    </w:p>
    <w:p w14:paraId="6010354D" w14:textId="77777777" w:rsidR="009857F8" w:rsidRPr="005D7012" w:rsidRDefault="009857F8" w:rsidP="009857F8">
      <w:pPr>
        <w:rPr>
          <w:b/>
        </w:rPr>
      </w:pPr>
      <w:r>
        <w:rPr>
          <w:b/>
        </w:rPr>
        <w:t>E-legitimationer</w:t>
      </w:r>
    </w:p>
    <w:p w14:paraId="68D9B3DF" w14:textId="77777777" w:rsidR="009857F8" w:rsidRDefault="009857F8" w:rsidP="009857F8">
      <w:pPr>
        <w:rPr>
          <w:rFonts w:eastAsia="Calibri" w:cs="Arial"/>
          <w:sz w:val="22"/>
          <w:szCs w:val="22"/>
        </w:rPr>
      </w:pPr>
      <w:r>
        <w:rPr>
          <w:rFonts w:eastAsia="Calibri" w:cs="Arial"/>
          <w:sz w:val="22"/>
          <w:szCs w:val="22"/>
        </w:rPr>
        <w:t>Används vid digitala videobesök eller motsvarande.</w:t>
      </w:r>
    </w:p>
    <w:p w14:paraId="02D6573E" w14:textId="77777777" w:rsidR="009857F8" w:rsidRDefault="009857F8" w:rsidP="009857F8">
      <w:pPr>
        <w:numPr>
          <w:ilvl w:val="0"/>
          <w:numId w:val="3"/>
        </w:numPr>
        <w:rPr>
          <w:rFonts w:eastAsia="Calibri" w:cs="Arial"/>
          <w:sz w:val="22"/>
          <w:szCs w:val="22"/>
        </w:rPr>
      </w:pPr>
      <w:r>
        <w:rPr>
          <w:rFonts w:eastAsia="Calibri" w:cs="Arial"/>
          <w:sz w:val="22"/>
          <w:szCs w:val="22"/>
        </w:rPr>
        <w:t xml:space="preserve">Bank-ID </w:t>
      </w:r>
    </w:p>
    <w:p w14:paraId="73DDA835" w14:textId="77777777" w:rsidR="009857F8" w:rsidRDefault="009857F8" w:rsidP="009857F8">
      <w:pPr>
        <w:numPr>
          <w:ilvl w:val="0"/>
          <w:numId w:val="3"/>
        </w:numPr>
        <w:rPr>
          <w:rFonts w:eastAsia="Calibri" w:cs="Arial"/>
          <w:sz w:val="22"/>
          <w:szCs w:val="22"/>
        </w:rPr>
      </w:pPr>
      <w:r>
        <w:rPr>
          <w:rFonts w:eastAsia="Calibri" w:cs="Arial"/>
          <w:sz w:val="22"/>
          <w:szCs w:val="22"/>
        </w:rPr>
        <w:t>Mobilt bank-ID</w:t>
      </w:r>
    </w:p>
    <w:p w14:paraId="198AEC6C" w14:textId="77777777" w:rsidR="009857F8" w:rsidRPr="005D7012" w:rsidRDefault="009857F8" w:rsidP="009857F8">
      <w:pPr>
        <w:numPr>
          <w:ilvl w:val="0"/>
          <w:numId w:val="3"/>
        </w:numPr>
        <w:rPr>
          <w:rFonts w:eastAsia="Calibri" w:cs="Arial"/>
          <w:sz w:val="22"/>
          <w:szCs w:val="22"/>
        </w:rPr>
      </w:pPr>
      <w:r>
        <w:rPr>
          <w:rFonts w:eastAsia="Calibri" w:cs="Arial"/>
          <w:sz w:val="22"/>
          <w:szCs w:val="22"/>
        </w:rPr>
        <w:t>Freja eID+</w:t>
      </w:r>
    </w:p>
    <w:p w14:paraId="019CBCB0" w14:textId="77777777" w:rsidR="009857F8" w:rsidRDefault="009857F8" w:rsidP="009857F8">
      <w:pPr>
        <w:rPr>
          <w:sz w:val="22"/>
          <w:szCs w:val="22"/>
        </w:rPr>
      </w:pPr>
    </w:p>
    <w:p w14:paraId="74FF4A0E" w14:textId="77777777" w:rsidR="009857F8" w:rsidRPr="00BB743B" w:rsidRDefault="009857F8" w:rsidP="009857F8">
      <w:pPr>
        <w:rPr>
          <w:sz w:val="22"/>
          <w:szCs w:val="22"/>
        </w:rPr>
      </w:pPr>
      <w:r w:rsidRPr="00BB743B">
        <w:rPr>
          <w:sz w:val="22"/>
          <w:szCs w:val="22"/>
        </w:rPr>
        <w:t xml:space="preserve">Om legitimation inte visats får personnummer användas om det står klart att uppgifterna är korrekta eller någon annan kan styrka patientens identitet. En anteckning ska göras om visad legitimation, att patienten inte kunde legitimera sig, att identiteten styrkts av annan. </w:t>
      </w:r>
    </w:p>
    <w:p w14:paraId="00C8FC0B" w14:textId="77777777" w:rsidR="009857F8" w:rsidRPr="00BB743B" w:rsidRDefault="009857F8" w:rsidP="009857F8">
      <w:pPr>
        <w:rPr>
          <w:sz w:val="22"/>
          <w:szCs w:val="22"/>
        </w:rPr>
      </w:pPr>
    </w:p>
    <w:p w14:paraId="75A5BBD1" w14:textId="77777777" w:rsidR="005E2C51" w:rsidRPr="00EA74B0" w:rsidRDefault="005E2C51" w:rsidP="005E2C51">
      <w:pPr>
        <w:rPr>
          <w:b/>
        </w:rPr>
      </w:pPr>
      <w:r w:rsidRPr="00EA74B0">
        <w:rPr>
          <w:b/>
        </w:rPr>
        <w:t xml:space="preserve">Detta ska gälla i samtliga fall utom: </w:t>
      </w:r>
    </w:p>
    <w:p w14:paraId="72232F71" w14:textId="77777777" w:rsidR="005E2C51" w:rsidRPr="00BB743B" w:rsidRDefault="005E2C51" w:rsidP="005E2C51">
      <w:pPr>
        <w:pStyle w:val="ListParagraph"/>
        <w:numPr>
          <w:ilvl w:val="0"/>
          <w:numId w:val="1"/>
        </w:numPr>
        <w:rPr>
          <w:rFonts w:cs="Arial"/>
        </w:rPr>
      </w:pPr>
      <w:r w:rsidRPr="00BB743B">
        <w:rPr>
          <w:rFonts w:cs="Arial"/>
        </w:rPr>
        <w:t xml:space="preserve">när patienten är känd för den som tar emot patienten </w:t>
      </w:r>
    </w:p>
    <w:p w14:paraId="4ADFFF41" w14:textId="77777777" w:rsidR="005E2C51" w:rsidRPr="00BB743B" w:rsidRDefault="005E2C51" w:rsidP="005E2C51">
      <w:pPr>
        <w:pStyle w:val="ListParagraph"/>
        <w:numPr>
          <w:ilvl w:val="0"/>
          <w:numId w:val="1"/>
        </w:numPr>
        <w:rPr>
          <w:rFonts w:cs="Arial"/>
        </w:rPr>
      </w:pPr>
      <w:r>
        <w:rPr>
          <w:rFonts w:cs="Arial"/>
        </w:rPr>
        <w:t>när det gäller nödvändig vård måste speciella hänsyn tas och identitetskontrollen kan göras i ett senare skede</w:t>
      </w:r>
      <w:r w:rsidRPr="00BB743B">
        <w:rPr>
          <w:rFonts w:cs="Arial"/>
        </w:rPr>
        <w:t xml:space="preserve"> </w:t>
      </w:r>
    </w:p>
    <w:p w14:paraId="0E504E89" w14:textId="77777777" w:rsidR="005E2C51" w:rsidRPr="00BB743B" w:rsidRDefault="005E2C51" w:rsidP="005E2C51">
      <w:pPr>
        <w:pStyle w:val="ListParagraph"/>
        <w:numPr>
          <w:ilvl w:val="0"/>
          <w:numId w:val="1"/>
        </w:numPr>
        <w:rPr>
          <w:rFonts w:cs="Arial"/>
        </w:rPr>
      </w:pPr>
      <w:r w:rsidRPr="00BB743B">
        <w:rPr>
          <w:rFonts w:cs="Arial"/>
        </w:rPr>
        <w:t xml:space="preserve">när patienten är ett barn, upptill 16 år, ansvarar medföljande så långt det är möjligt, för att barnets identitet är korrekt angiven och legitimation av medföljande efterfrågas. </w:t>
      </w:r>
    </w:p>
    <w:p w14:paraId="39E1A327" w14:textId="77777777" w:rsidR="005E2C51" w:rsidRPr="00BB743B" w:rsidRDefault="005E2C51" w:rsidP="005E2C51">
      <w:pPr>
        <w:rPr>
          <w:sz w:val="22"/>
          <w:szCs w:val="22"/>
        </w:rPr>
      </w:pPr>
      <w:r w:rsidRPr="00BB743B">
        <w:rPr>
          <w:sz w:val="22"/>
          <w:szCs w:val="22"/>
        </w:rPr>
        <w:t xml:space="preserve">Om patienten inte kan eller vill visa fotolegitimation och personal bedömer att så borde ske ska det antecknas i journalen att patienten vid vårdtillfället inte visat fotolegitimation. Dokumentation görs på sökordet ID-kontroll. </w:t>
      </w:r>
    </w:p>
    <w:p w14:paraId="203CF0A7" w14:textId="77777777" w:rsidR="005E2C51" w:rsidRPr="00BB743B" w:rsidRDefault="005E2C51" w:rsidP="005E2C51">
      <w:pPr>
        <w:rPr>
          <w:sz w:val="22"/>
          <w:szCs w:val="22"/>
        </w:rPr>
      </w:pPr>
    </w:p>
    <w:p w14:paraId="5CE8F635" w14:textId="77777777" w:rsidR="005E2C51" w:rsidRPr="009C4947" w:rsidRDefault="005E2C51" w:rsidP="005E2C51">
      <w:pPr>
        <w:pStyle w:val="Heading1"/>
        <w:rPr>
          <w:sz w:val="28"/>
        </w:rPr>
      </w:pPr>
      <w:bookmarkStart w:id="22" w:name="_Toc341891091"/>
      <w:bookmarkStart w:id="23" w:name="_Toc474324246"/>
      <w:bookmarkStart w:id="24" w:name="_Toc108418613"/>
      <w:r>
        <w:rPr>
          <w:sz w:val="28"/>
        </w:rPr>
        <w:t>Reservnummer ska användas</w:t>
      </w:r>
      <w:bookmarkEnd w:id="22"/>
      <w:bookmarkEnd w:id="23"/>
      <w:bookmarkEnd w:id="24"/>
      <w:r w:rsidRPr="009C4947">
        <w:rPr>
          <w:sz w:val="28"/>
        </w:rPr>
        <w:t xml:space="preserve"> </w:t>
      </w:r>
    </w:p>
    <w:p w14:paraId="703A2A4A" w14:textId="77777777" w:rsidR="005E2C51" w:rsidRPr="00BB743B" w:rsidRDefault="005E2C51" w:rsidP="005E2C51">
      <w:pPr>
        <w:pStyle w:val="ListParagraph"/>
        <w:numPr>
          <w:ilvl w:val="0"/>
          <w:numId w:val="1"/>
        </w:numPr>
        <w:rPr>
          <w:rFonts w:cs="Arial"/>
        </w:rPr>
      </w:pPr>
      <w:r w:rsidRPr="00BB743B">
        <w:rPr>
          <w:rFonts w:cs="Arial"/>
        </w:rPr>
        <w:t xml:space="preserve">då patientens identitet inte kan fastställas </w:t>
      </w:r>
    </w:p>
    <w:p w14:paraId="02754D53" w14:textId="77777777" w:rsidR="005E2C51" w:rsidRPr="00BB743B" w:rsidRDefault="005E2C51" w:rsidP="005E2C51">
      <w:pPr>
        <w:pStyle w:val="ListParagraph"/>
        <w:numPr>
          <w:ilvl w:val="0"/>
          <w:numId w:val="1"/>
        </w:numPr>
        <w:rPr>
          <w:rFonts w:cs="Arial"/>
        </w:rPr>
      </w:pPr>
      <w:r w:rsidRPr="00BB743B">
        <w:rPr>
          <w:rFonts w:cs="Arial"/>
        </w:rPr>
        <w:t xml:space="preserve">om det finns anledning att tro att de uppgifter som lämnats inte är korrekta </w:t>
      </w:r>
    </w:p>
    <w:p w14:paraId="6924271E" w14:textId="572B1ACE" w:rsidR="005E2C51" w:rsidRPr="00BB743B" w:rsidRDefault="005E2C51" w:rsidP="005E2C51">
      <w:pPr>
        <w:pStyle w:val="ListParagraph"/>
        <w:numPr>
          <w:ilvl w:val="0"/>
          <w:numId w:val="1"/>
        </w:numPr>
        <w:rPr>
          <w:rFonts w:cs="Arial"/>
        </w:rPr>
      </w:pPr>
      <w:r w:rsidRPr="00BB743B">
        <w:rPr>
          <w:rFonts w:cs="Arial"/>
        </w:rPr>
        <w:t>för alla utländska medborgare, som inte har personnummer  (exempelvis asylsökande med LMA-kort)</w:t>
      </w:r>
    </w:p>
    <w:p w14:paraId="2AFD8C0F" w14:textId="77777777" w:rsidR="005E2C51" w:rsidRPr="00FB65BB" w:rsidRDefault="005E2C51" w:rsidP="005E2C51">
      <w:pPr>
        <w:rPr>
          <w:sz w:val="22"/>
          <w:szCs w:val="22"/>
        </w:rPr>
      </w:pPr>
      <w:r w:rsidRPr="00BB743B">
        <w:rPr>
          <w:sz w:val="22"/>
          <w:szCs w:val="22"/>
        </w:rPr>
        <w:t xml:space="preserve">Observera att olika it-system kan generera olika reservnummer vilket innebär en osäkerhet då man söker undersökningar/provtagningar som beställts/utförts på annan enhet/förvaltning. Man bör därför komplettera sedvanlig sökning i databaser på personnummer med sökning på namnet i dessa fall. Reservnummer ska bytas ut mot personnummer när id styrkts. </w:t>
      </w:r>
    </w:p>
    <w:p w14:paraId="5BF2E3FA" w14:textId="2FFDF431" w:rsidR="005E2C51" w:rsidRPr="00FB65BB" w:rsidRDefault="005E2C51" w:rsidP="005E2C51">
      <w:pPr>
        <w:rPr>
          <w:sz w:val="22"/>
          <w:szCs w:val="22"/>
        </w:rPr>
      </w:pPr>
      <w:r w:rsidRPr="00FB65BB">
        <w:rPr>
          <w:sz w:val="22"/>
          <w:szCs w:val="22"/>
        </w:rPr>
        <w:t xml:space="preserve">Blankett </w:t>
      </w:r>
      <w:hyperlink r:id="rId14" w:history="1">
        <w:r w:rsidRPr="00FB65BB">
          <w:rPr>
            <w:rStyle w:val="Hyperlink"/>
            <w:sz w:val="22"/>
            <w:szCs w:val="22"/>
          </w:rPr>
          <w:t>ID-kontroll patient fastställa i efterhand,</w:t>
        </w:r>
      </w:hyperlink>
      <w:r w:rsidRPr="00FB65BB">
        <w:rPr>
          <w:sz w:val="22"/>
          <w:szCs w:val="22"/>
        </w:rPr>
        <w:t xml:space="preserve"> ska användas som underlag för denna handläggning. Se även </w:t>
      </w:r>
      <w:hyperlink r:id="rId15" w:history="1">
        <w:r w:rsidRPr="00FB65BB">
          <w:rPr>
            <w:rStyle w:val="Hyperlink"/>
            <w:sz w:val="22"/>
            <w:szCs w:val="22"/>
          </w:rPr>
          <w:t>Rutin: VAS - Reservnummer</w:t>
        </w:r>
      </w:hyperlink>
      <w:r w:rsidRPr="00FB65BB">
        <w:rPr>
          <w:sz w:val="22"/>
          <w:szCs w:val="22"/>
        </w:rPr>
        <w:t xml:space="preserve">. </w:t>
      </w:r>
    </w:p>
    <w:p w14:paraId="1020E76F" w14:textId="77777777" w:rsidR="005E2C51" w:rsidRDefault="005E2C51" w:rsidP="005E2C51">
      <w:pPr>
        <w:rPr>
          <w:sz w:val="22"/>
          <w:szCs w:val="22"/>
        </w:rPr>
      </w:pPr>
    </w:p>
    <w:p w14:paraId="31209DA3" w14:textId="77777777" w:rsidR="00852D66" w:rsidRPr="00852D66" w:rsidRDefault="00852D66" w:rsidP="00852D66">
      <w:pPr>
        <w:rPr>
          <w:b/>
          <w:bCs/>
          <w:sz w:val="22"/>
          <w:szCs w:val="22"/>
        </w:rPr>
      </w:pPr>
      <w:r w:rsidRPr="00852D66">
        <w:rPr>
          <w:b/>
          <w:bCs/>
          <w:sz w:val="22"/>
          <w:szCs w:val="22"/>
        </w:rPr>
        <w:t>LMA-kortet</w:t>
      </w:r>
    </w:p>
    <w:p w14:paraId="4B4C4796" w14:textId="77777777" w:rsidR="00852D66" w:rsidRPr="00852D66" w:rsidRDefault="00852D66" w:rsidP="00852D66">
      <w:pPr>
        <w:rPr>
          <w:sz w:val="22"/>
          <w:szCs w:val="22"/>
        </w:rPr>
      </w:pPr>
      <w:r w:rsidRPr="00852D66">
        <w:rPr>
          <w:sz w:val="22"/>
          <w:szCs w:val="22"/>
        </w:rPr>
        <w:t xml:space="preserve">LMA-kortet är ett plastkort med ett foto som visar att personen är asylsökande och ska visas upp vid besök på vårdinrättningen. Kortet är inte en identitetshandling utan ett bevis på att personen är asylsökande. LMA-kortsnumret ska registreras i patientvyn i journalen. </w:t>
      </w:r>
    </w:p>
    <w:p w14:paraId="6368CC6E" w14:textId="77777777" w:rsidR="00B80362" w:rsidRPr="00852D66" w:rsidRDefault="00B80362" w:rsidP="00852D66">
      <w:pPr>
        <w:rPr>
          <w:sz w:val="22"/>
          <w:szCs w:val="22"/>
        </w:rPr>
      </w:pPr>
    </w:p>
    <w:p w14:paraId="1F370039" w14:textId="77777777" w:rsidR="00852D66" w:rsidRPr="00852D66" w:rsidRDefault="00852D66" w:rsidP="00852D66">
      <w:pPr>
        <w:rPr>
          <w:b/>
          <w:bCs/>
          <w:sz w:val="22"/>
          <w:szCs w:val="22"/>
        </w:rPr>
      </w:pPr>
      <w:r w:rsidRPr="00852D66">
        <w:rPr>
          <w:b/>
          <w:bCs/>
          <w:sz w:val="22"/>
          <w:szCs w:val="22"/>
        </w:rPr>
        <w:t>Åldersbedömning – ändra födelsedatum</w:t>
      </w:r>
    </w:p>
    <w:p w14:paraId="1C1054F7" w14:textId="77777777" w:rsidR="00852D66" w:rsidRPr="00852D66" w:rsidRDefault="00852D66" w:rsidP="00852D66">
      <w:pPr>
        <w:rPr>
          <w:sz w:val="22"/>
          <w:szCs w:val="22"/>
        </w:rPr>
      </w:pPr>
      <w:r w:rsidRPr="00852D66">
        <w:rPr>
          <w:sz w:val="22"/>
          <w:szCs w:val="22"/>
        </w:rPr>
        <w:t xml:space="preserve">Åldersbedömning görs av Rättsmedicinalverket. Migrationsverket fattar utifrån den bedömningen ett beslut som heter ”beslut om åldersbedömning” och som skickas till den person det gäller. På beslutet finns det tidigare födelsedatumet och det nya. Personen får ett nytt LMA-kort som visar födelsetid – år, månad och dag. </w:t>
      </w:r>
    </w:p>
    <w:p w14:paraId="39983B6F" w14:textId="77777777" w:rsidR="00852D66" w:rsidRPr="00852D66" w:rsidRDefault="00852D66" w:rsidP="00852D66">
      <w:pPr>
        <w:rPr>
          <w:sz w:val="22"/>
          <w:szCs w:val="22"/>
        </w:rPr>
      </w:pPr>
    </w:p>
    <w:p w14:paraId="202CD18A" w14:textId="77777777" w:rsidR="00852D66" w:rsidRPr="00852D66" w:rsidRDefault="00852D66" w:rsidP="00852D66">
      <w:pPr>
        <w:rPr>
          <w:sz w:val="22"/>
          <w:szCs w:val="22"/>
        </w:rPr>
      </w:pPr>
      <w:r w:rsidRPr="00852D66">
        <w:rPr>
          <w:sz w:val="22"/>
          <w:szCs w:val="22"/>
        </w:rPr>
        <w:t>Om födelsedatum på LMA-kort inte stämmer överens med uppgiften som är registrerad i VAS har personen fått en ny åldersbedömning. För att vi ska kunna göra en ändring till rätt födelsedatum måste vi ha ett underlag. Om patienten inte har med beslutet från Migrationsverket angående åldersbedömning kan en kopia begäras ut från Socialtjänsten i respektive kommun. För ändring till rätt födelsedatum se rutin VAS – Reservnummer.</w:t>
      </w:r>
    </w:p>
    <w:p w14:paraId="5E95BA80" w14:textId="77777777" w:rsidR="00852D66" w:rsidRPr="00BB743B" w:rsidRDefault="00852D66" w:rsidP="005E2C51">
      <w:pPr>
        <w:rPr>
          <w:sz w:val="22"/>
          <w:szCs w:val="22"/>
        </w:rPr>
      </w:pPr>
    </w:p>
    <w:p w14:paraId="595B393B" w14:textId="77777777" w:rsidR="005E2C51" w:rsidRDefault="005E2C51" w:rsidP="005E2C51">
      <w:pPr>
        <w:pStyle w:val="Heading1"/>
      </w:pPr>
      <w:bookmarkStart w:id="25" w:name="_Toc341891092"/>
      <w:bookmarkStart w:id="26" w:name="_Toc474324247"/>
      <w:bookmarkStart w:id="27" w:name="_Toc108418614"/>
      <w:r w:rsidRPr="009C4947">
        <w:rPr>
          <w:sz w:val="28"/>
        </w:rPr>
        <w:t>Telefonkontakt</w:t>
      </w:r>
      <w:bookmarkEnd w:id="25"/>
      <w:bookmarkEnd w:id="26"/>
      <w:bookmarkEnd w:id="27"/>
      <w:r>
        <w:t xml:space="preserve"> </w:t>
      </w:r>
    </w:p>
    <w:p w14:paraId="1BAF7735" w14:textId="77777777" w:rsidR="005E2C51" w:rsidRPr="00BB743B" w:rsidRDefault="005E2C51" w:rsidP="005E2C51">
      <w:pPr>
        <w:rPr>
          <w:sz w:val="22"/>
          <w:szCs w:val="22"/>
        </w:rPr>
      </w:pPr>
      <w:r w:rsidRPr="00BB743B">
        <w:rPr>
          <w:sz w:val="22"/>
          <w:szCs w:val="22"/>
        </w:rPr>
        <w:t xml:space="preserve">Vid telefonsamtal görs bedömning om det är sannolikt att det är korrekt personnummer som lämnats. Vid misstanke om att uppgifterna inte är korrekta ska reservnummer användas. </w:t>
      </w:r>
    </w:p>
    <w:p w14:paraId="357CFFE0" w14:textId="77777777" w:rsidR="005E2C51" w:rsidRDefault="005E2C51" w:rsidP="005E2C51">
      <w:pPr>
        <w:rPr>
          <w:sz w:val="22"/>
          <w:szCs w:val="22"/>
        </w:rPr>
      </w:pPr>
    </w:p>
    <w:p w14:paraId="17710321" w14:textId="77777777" w:rsidR="005E2C51" w:rsidRPr="009C4947" w:rsidRDefault="005E2C51" w:rsidP="005E2C51">
      <w:pPr>
        <w:pStyle w:val="Heading1"/>
        <w:rPr>
          <w:sz w:val="28"/>
        </w:rPr>
      </w:pPr>
      <w:bookmarkStart w:id="28" w:name="_Toc474324248"/>
      <w:bookmarkStart w:id="29" w:name="_Toc108418615"/>
      <w:r>
        <w:rPr>
          <w:sz w:val="28"/>
        </w:rPr>
        <w:t>Id-kontroll genom vårdprocessen</w:t>
      </w:r>
      <w:bookmarkEnd w:id="28"/>
      <w:bookmarkEnd w:id="29"/>
    </w:p>
    <w:p w14:paraId="1244E3CA" w14:textId="77777777" w:rsidR="009857F8" w:rsidRDefault="009857F8" w:rsidP="005E2C51">
      <w:pPr>
        <w:rPr>
          <w:b/>
        </w:rPr>
      </w:pPr>
      <w:bookmarkStart w:id="30" w:name="_Toc341891093"/>
    </w:p>
    <w:p w14:paraId="6591B8CA" w14:textId="7CBA4DBA" w:rsidR="005E2C51" w:rsidRPr="00EA74B0" w:rsidRDefault="005E2C51" w:rsidP="005E2C51">
      <w:pPr>
        <w:rPr>
          <w:b/>
        </w:rPr>
      </w:pPr>
      <w:r w:rsidRPr="00EA74B0">
        <w:rPr>
          <w:b/>
        </w:rPr>
        <w:t>Id-bandsmärkning</w:t>
      </w:r>
      <w:bookmarkEnd w:id="30"/>
      <w:r w:rsidRPr="00EA74B0">
        <w:rPr>
          <w:b/>
        </w:rPr>
        <w:t xml:space="preserve"> </w:t>
      </w:r>
    </w:p>
    <w:p w14:paraId="1512BB69" w14:textId="13D33320" w:rsidR="00852D66" w:rsidRPr="00852D66" w:rsidRDefault="00852D66" w:rsidP="00852D66">
      <w:pPr>
        <w:rPr>
          <w:sz w:val="22"/>
          <w:szCs w:val="22"/>
        </w:rPr>
      </w:pPr>
      <w:r w:rsidRPr="00852D66">
        <w:rPr>
          <w:sz w:val="22"/>
          <w:szCs w:val="22"/>
        </w:rPr>
        <w:t>Id-märkning av patient med så kallat id-band får utföras av hälso- och sjukvårdpersonal med rätt kompetens. Det är verksamhetschef eller arbetsledande chef som fördelar arbetsuppgiften. Id-bandet ska signeras och dateras i samband med id-märkningen av den som utför id-märkningen. Signaturen ska kunna tydas med hjälp av på enheten befintlig signaturförteckning. Har patienten blivit id-märkt av ambulanspersonal så bör denna märkning sitta kvar till dess patienten lämnar sjukhuset.</w:t>
      </w:r>
    </w:p>
    <w:p w14:paraId="01B41CAB" w14:textId="77777777" w:rsidR="005E2C51" w:rsidRPr="00BB743B" w:rsidRDefault="005E2C51" w:rsidP="005E2C51">
      <w:pPr>
        <w:rPr>
          <w:sz w:val="22"/>
          <w:szCs w:val="22"/>
        </w:rPr>
      </w:pPr>
    </w:p>
    <w:p w14:paraId="75BC87FC" w14:textId="77777777" w:rsidR="005E2C51" w:rsidRPr="00BB743B" w:rsidRDefault="005E2C51" w:rsidP="005E2C51">
      <w:pPr>
        <w:rPr>
          <w:sz w:val="22"/>
          <w:szCs w:val="22"/>
        </w:rPr>
      </w:pPr>
      <w:r w:rsidRPr="00BB743B">
        <w:rPr>
          <w:sz w:val="22"/>
          <w:szCs w:val="22"/>
        </w:rPr>
        <w:t xml:space="preserve">Patienter som inkommer till sjukhuset och ska vidaretransporteras till annat sjukhus ska id-märkas innan de lämnar sjukhuset. </w:t>
      </w:r>
    </w:p>
    <w:p w14:paraId="5CB9D3C5" w14:textId="77777777" w:rsidR="005E2C51" w:rsidRPr="00BB743B" w:rsidRDefault="005E2C51" w:rsidP="005E2C51">
      <w:pPr>
        <w:rPr>
          <w:sz w:val="22"/>
          <w:szCs w:val="22"/>
        </w:rPr>
      </w:pPr>
    </w:p>
    <w:p w14:paraId="5FFE1BD5" w14:textId="77777777" w:rsidR="005E2C51" w:rsidRPr="00BB743B" w:rsidRDefault="005E2C51" w:rsidP="005E2C51">
      <w:pPr>
        <w:rPr>
          <w:sz w:val="22"/>
          <w:szCs w:val="22"/>
        </w:rPr>
      </w:pPr>
      <w:r w:rsidRPr="00BB743B">
        <w:rPr>
          <w:sz w:val="22"/>
          <w:szCs w:val="22"/>
        </w:rPr>
        <w:t>På id-bandet ska anges:</w:t>
      </w:r>
    </w:p>
    <w:p w14:paraId="327EB078" w14:textId="77777777" w:rsidR="005E2C51" w:rsidRPr="00BB743B" w:rsidRDefault="005E2C51" w:rsidP="005E2C51">
      <w:pPr>
        <w:pStyle w:val="ListParagraph"/>
        <w:numPr>
          <w:ilvl w:val="0"/>
          <w:numId w:val="1"/>
        </w:numPr>
        <w:rPr>
          <w:rFonts w:cs="Arial"/>
        </w:rPr>
      </w:pPr>
      <w:r w:rsidRPr="00BB743B">
        <w:rPr>
          <w:rFonts w:cs="Arial"/>
        </w:rPr>
        <w:t>namn (för- och efternamn)</w:t>
      </w:r>
    </w:p>
    <w:p w14:paraId="4144A943" w14:textId="77777777" w:rsidR="005E2C51" w:rsidRPr="00BB743B" w:rsidRDefault="005E2C51" w:rsidP="005E2C51">
      <w:pPr>
        <w:pStyle w:val="ListParagraph"/>
        <w:numPr>
          <w:ilvl w:val="0"/>
          <w:numId w:val="1"/>
        </w:numPr>
        <w:rPr>
          <w:rFonts w:cs="Arial"/>
        </w:rPr>
      </w:pPr>
      <w:r w:rsidRPr="00BB743B">
        <w:rPr>
          <w:rFonts w:cs="Arial"/>
        </w:rPr>
        <w:t>personnummer</w:t>
      </w:r>
    </w:p>
    <w:p w14:paraId="021E35A0" w14:textId="77777777" w:rsidR="005E2C51" w:rsidRPr="00202B41" w:rsidRDefault="005E2C51" w:rsidP="005E2C51">
      <w:pPr>
        <w:rPr>
          <w:sz w:val="22"/>
          <w:szCs w:val="22"/>
        </w:rPr>
      </w:pPr>
      <w:r w:rsidRPr="00202B41">
        <w:rPr>
          <w:sz w:val="22"/>
          <w:szCs w:val="22"/>
        </w:rPr>
        <w:t>Patienten eller patientens anhöriga ska ges tillfälle att kontrollera att uppgifterna är korrekta.</w:t>
      </w:r>
    </w:p>
    <w:p w14:paraId="5BFBFD23" w14:textId="77777777" w:rsidR="005E2C51" w:rsidRPr="00BB743B" w:rsidRDefault="005E2C51" w:rsidP="005E2C51">
      <w:pPr>
        <w:rPr>
          <w:sz w:val="22"/>
          <w:szCs w:val="22"/>
        </w:rPr>
      </w:pPr>
      <w:r w:rsidRPr="00BB743B">
        <w:rPr>
          <w:sz w:val="22"/>
          <w:szCs w:val="22"/>
        </w:rPr>
        <w:t xml:space="preserve">Identitetskontrollen ska vara kontinuerlig genom vårdprocessen. När patienten flyttas mellan enheter till exempel från avdelning till röntgen ska mottagande personal kontrollera personnumret på remissen med patienten eller med den som medföljer patienten. </w:t>
      </w:r>
    </w:p>
    <w:p w14:paraId="6D2B0287" w14:textId="77777777" w:rsidR="005E2C51" w:rsidRPr="00BB743B" w:rsidRDefault="005E2C51" w:rsidP="005E2C51">
      <w:pPr>
        <w:rPr>
          <w:sz w:val="22"/>
          <w:szCs w:val="22"/>
        </w:rPr>
      </w:pPr>
    </w:p>
    <w:p w14:paraId="260CEB95" w14:textId="77777777" w:rsidR="005E2C51" w:rsidRPr="00BB743B" w:rsidRDefault="005E2C51" w:rsidP="005E2C51">
      <w:pPr>
        <w:rPr>
          <w:sz w:val="22"/>
          <w:szCs w:val="22"/>
        </w:rPr>
      </w:pPr>
      <w:r w:rsidRPr="00BB743B">
        <w:rPr>
          <w:sz w:val="22"/>
          <w:szCs w:val="22"/>
        </w:rPr>
        <w:t xml:space="preserve">Vid remittering till annan klinik eller vårdgivare ska det antecknas på remissen om patienten inte fotolegitimerat sig vid utfärdandet av remissen. </w:t>
      </w:r>
    </w:p>
    <w:p w14:paraId="58B67464" w14:textId="77777777" w:rsidR="005E2C51" w:rsidRPr="00BB743B" w:rsidRDefault="005E2C51" w:rsidP="005E2C51">
      <w:pPr>
        <w:rPr>
          <w:sz w:val="22"/>
          <w:szCs w:val="22"/>
        </w:rPr>
      </w:pPr>
    </w:p>
    <w:p w14:paraId="6A9C022F" w14:textId="77777777" w:rsidR="005E2C51" w:rsidRDefault="005E2C51" w:rsidP="005E2C51">
      <w:pPr>
        <w:pStyle w:val="Heading1"/>
      </w:pPr>
      <w:bookmarkStart w:id="31" w:name="_Toc474324249"/>
      <w:bookmarkStart w:id="32" w:name="_Toc108418616"/>
      <w:r w:rsidRPr="009C4947">
        <w:rPr>
          <w:sz w:val="28"/>
        </w:rPr>
        <w:t>Bilagor</w:t>
      </w:r>
      <w:bookmarkEnd w:id="31"/>
      <w:bookmarkEnd w:id="32"/>
    </w:p>
    <w:p w14:paraId="7E0CA774" w14:textId="79464F3C" w:rsidR="005E2C51" w:rsidRPr="00BB743B" w:rsidRDefault="005E2C51" w:rsidP="005E2C51">
      <w:pPr>
        <w:rPr>
          <w:i/>
          <w:sz w:val="22"/>
          <w:szCs w:val="22"/>
        </w:rPr>
      </w:pPr>
      <w:r w:rsidRPr="00BB743B">
        <w:rPr>
          <w:sz w:val="22"/>
          <w:szCs w:val="22"/>
        </w:rPr>
        <w:t xml:space="preserve">Bilaga: </w:t>
      </w:r>
      <w:hyperlink r:id="rId16" w:history="1">
        <w:r w:rsidRPr="009E3F28">
          <w:rPr>
            <w:rStyle w:val="Hyperlink"/>
            <w:sz w:val="22"/>
            <w:szCs w:val="22"/>
          </w:rPr>
          <w:t>ID-kontroll</w:t>
        </w:r>
      </w:hyperlink>
      <w:r w:rsidRPr="009E3F28">
        <w:rPr>
          <w:rStyle w:val="Hyperlink"/>
          <w:sz w:val="22"/>
          <w:szCs w:val="22"/>
        </w:rPr>
        <w:t xml:space="preserve"> patient fastställa i efterhand</w:t>
      </w:r>
    </w:p>
    <w:p w14:paraId="5E03A261" w14:textId="77777777" w:rsidR="00FF13AF" w:rsidRPr="00BB743B" w:rsidRDefault="00FF13AF" w:rsidP="00FF13A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88"/>
      </w:tblGrid>
      <w:tr w:rsidR="006E7AEB" w14:paraId="194A89C9" w14:textId="77777777" w:rsidTr="006E7AEB">
        <w:trPr>
          <w:trHeight w:val="555"/>
        </w:trPr>
        <w:tc>
          <w:tcPr>
            <w:tcW w:w="928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C79465E" w14:textId="77777777" w:rsidR="006E7AEB" w:rsidRPr="009E3F28" w:rsidRDefault="006E7AEB" w:rsidP="009E3F28">
            <w:pPr>
              <w:pStyle w:val="Heading1"/>
              <w:rPr>
                <w:sz w:val="28"/>
              </w:rPr>
            </w:pPr>
            <w:bookmarkStart w:id="33" w:name="_Toc338760458"/>
            <w:bookmarkStart w:id="34" w:name="_Toc338760522"/>
            <w:bookmarkStart w:id="35" w:name="_Toc338760588"/>
            <w:bookmarkStart w:id="36" w:name="_Toc338760604"/>
            <w:bookmarkStart w:id="37" w:name="_Toc108418617"/>
            <w:r w:rsidRPr="009E3F28">
              <w:rPr>
                <w:sz w:val="28"/>
              </w:rPr>
              <w:t>Uppdaterat från föregående version</w:t>
            </w:r>
            <w:bookmarkEnd w:id="33"/>
            <w:bookmarkEnd w:id="34"/>
            <w:bookmarkEnd w:id="35"/>
            <w:bookmarkEnd w:id="36"/>
            <w:bookmarkEnd w:id="37"/>
          </w:p>
          <w:p w14:paraId="09C47F66" w14:textId="22066896" w:rsidR="009E3F28" w:rsidRDefault="009E3F28" w:rsidP="009857F8">
            <w:r>
              <w:t xml:space="preserve">Rutinen är endast uppdaterad med nyckelord för att vara tillgänglig på vårdgivarwebben. </w:t>
            </w:r>
          </w:p>
          <w:p w14:paraId="3245EB0B" w14:textId="2310240A" w:rsidR="009E3F28" w:rsidRDefault="009E3F28" w:rsidP="009857F8">
            <w:r>
              <w:t>Ersätter 2021-07-16</w:t>
            </w:r>
          </w:p>
          <w:p w14:paraId="1C3CB05D" w14:textId="77777777" w:rsidR="009E3F28" w:rsidRDefault="009E3F28" w:rsidP="009857F8"/>
          <w:p w14:paraId="1E7AFDD0" w14:textId="5258302B" w:rsidR="009857F8" w:rsidRPr="009E3F28" w:rsidRDefault="009857F8" w:rsidP="009857F8">
            <w:pPr>
              <w:rPr>
                <w:color w:val="BFBFBF" w:themeColor="background1" w:themeShade="BF"/>
              </w:rPr>
            </w:pPr>
            <w:r w:rsidRPr="009E3F28">
              <w:rPr>
                <w:color w:val="BFBFBF" w:themeColor="background1" w:themeShade="BF"/>
              </w:rPr>
              <w:t>Lagt till mobilt bank-ID och Freja eID+. Mindre redaktionella ändringar.</w:t>
            </w:r>
          </w:p>
          <w:p w14:paraId="6CB5E622" w14:textId="6F67D9F2" w:rsidR="006E7AEB" w:rsidRDefault="009857F8" w:rsidP="009857F8">
            <w:r w:rsidRPr="009E3F28">
              <w:rPr>
                <w:color w:val="BFBFBF" w:themeColor="background1" w:themeShade="BF"/>
              </w:rPr>
              <w:t>Ersätter 2020-06-08.</w:t>
            </w:r>
          </w:p>
        </w:tc>
      </w:tr>
    </w:tbl>
    <w:p w14:paraId="5B9498FE" w14:textId="77777777" w:rsidR="00217411" w:rsidRPr="006E7AEB" w:rsidRDefault="00217411" w:rsidP="00FB65BB"/>
    <w:sectPr w:rsidR="00217411" w:rsidRPr="006E7AEB" w:rsidSect="00B17BC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25A8" w14:textId="77777777" w:rsidR="00FF13AF" w:rsidRDefault="00FF13AF" w:rsidP="007C5174">
      <w:pPr>
        <w:spacing w:line="240" w:lineRule="auto"/>
      </w:pPr>
      <w:r>
        <w:separator/>
      </w:r>
    </w:p>
  </w:endnote>
  <w:endnote w:type="continuationSeparator" w:id="0">
    <w:p w14:paraId="50956F59" w14:textId="77777777" w:rsidR="00FF13AF" w:rsidRDefault="00FF13AF" w:rsidP="007C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CB84" w14:textId="77777777" w:rsidR="00FE4EA4" w:rsidRDefault="00763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E7AD" w14:textId="77777777" w:rsidR="008B0B3E" w:rsidRDefault="00763D12">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86669C" w14:paraId="169B2237" w14:textId="77777777" w:rsidTr="00220BF1">
      <w:tc>
        <w:tcPr>
          <w:tcW w:w="7083" w:type="dxa"/>
        </w:tcPr>
        <w:p w14:paraId="3D266039" w14:textId="77777777" w:rsidR="0086669C" w:rsidRPr="00A26938" w:rsidRDefault="00654199" w:rsidP="0086669C">
          <w:pPr>
            <w:pStyle w:val="Footer"/>
            <w:rPr>
              <w:sz w:val="20"/>
            </w:rPr>
          </w:pPr>
          <w:r w:rsidRPr="00730DA5">
            <w:rPr>
              <w:sz w:val="20"/>
            </w:rPr>
            <w:t>Rutin: ID-kontroll patient</w:t>
          </w:r>
        </w:p>
      </w:tc>
      <w:tc>
        <w:tcPr>
          <w:tcW w:w="1933" w:type="dxa"/>
        </w:tcPr>
        <w:p w14:paraId="04464393" w14:textId="77777777" w:rsidR="0086669C" w:rsidRDefault="00654199" w:rsidP="0086669C">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14:paraId="049BA934" w14:textId="77777777" w:rsidTr="00220BF1">
      <w:tc>
        <w:tcPr>
          <w:tcW w:w="7083" w:type="dxa"/>
        </w:tcPr>
        <w:p w14:paraId="587C5A37" w14:textId="770834EF" w:rsidR="0086669C" w:rsidRPr="00730DA5" w:rsidRDefault="00654199" w:rsidP="0086669C">
          <w:pPr>
            <w:pStyle w:val="Footer"/>
            <w:rPr>
              <w:sz w:val="20"/>
            </w:rPr>
          </w:pPr>
          <w:r w:rsidRPr="37904626">
            <w:rPr>
              <w:sz w:val="20"/>
              <w:szCs w:val="20"/>
            </w:rPr>
            <w:t>Fastställd av: Regional Säkerhetsansvarig, Publicerad: 2022-07-11</w:t>
          </w:r>
        </w:p>
      </w:tc>
      <w:tc>
        <w:tcPr>
          <w:tcW w:w="1933" w:type="dxa"/>
        </w:tcPr>
        <w:p w14:paraId="359DDFB3" w14:textId="77777777" w:rsidR="0086669C" w:rsidRPr="00CE3B56" w:rsidRDefault="00763D12" w:rsidP="0086669C">
          <w:pPr>
            <w:pStyle w:val="Footer"/>
            <w:jc w:val="right"/>
            <w:rPr>
              <w:sz w:val="20"/>
            </w:rPr>
          </w:pPr>
        </w:p>
      </w:tc>
    </w:tr>
    <w:tr w:rsidR="0086669C" w14:paraId="450F38E4" w14:textId="77777777" w:rsidTr="00220BF1">
      <w:tc>
        <w:tcPr>
          <w:tcW w:w="7083" w:type="dxa"/>
        </w:tcPr>
        <w:p w14:paraId="62B6D4D4" w14:textId="77777777" w:rsidR="0086669C" w:rsidRPr="37904626" w:rsidRDefault="00654199" w:rsidP="0086669C">
          <w:pPr>
            <w:pStyle w:val="Footer"/>
            <w:rPr>
              <w:sz w:val="20"/>
              <w:szCs w:val="20"/>
            </w:rPr>
          </w:pPr>
          <w:r>
            <w:rPr>
              <w:sz w:val="20"/>
            </w:rPr>
            <w:t>Huvudförfattare: Pettersson Hans RK STAB</w:t>
          </w:r>
        </w:p>
      </w:tc>
      <w:tc>
        <w:tcPr>
          <w:tcW w:w="1933" w:type="dxa"/>
        </w:tcPr>
        <w:p w14:paraId="1B0FB7E9" w14:textId="77777777" w:rsidR="0086669C" w:rsidRPr="00CE3B56" w:rsidRDefault="00763D12" w:rsidP="0086669C">
          <w:pPr>
            <w:pStyle w:val="Footer"/>
            <w:jc w:val="right"/>
            <w:rPr>
              <w:sz w:val="20"/>
            </w:rPr>
          </w:pPr>
        </w:p>
      </w:tc>
    </w:tr>
  </w:tbl>
  <w:p w14:paraId="3D4C8F68" w14:textId="77777777" w:rsidR="0086669C" w:rsidRDefault="00763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0D6F1B" w14:paraId="283D25F8" w14:textId="77777777" w:rsidTr="00595120">
      <w:tc>
        <w:tcPr>
          <w:tcW w:w="7083" w:type="dxa"/>
        </w:tcPr>
        <w:p w14:paraId="20748AEE" w14:textId="77777777" w:rsidR="000D6F1B" w:rsidRPr="00A26938" w:rsidRDefault="00654199" w:rsidP="000D6F1B">
          <w:pPr>
            <w:pStyle w:val="Footer"/>
            <w:rPr>
              <w:sz w:val="20"/>
            </w:rPr>
          </w:pPr>
          <w:r w:rsidRPr="00730DA5">
            <w:rPr>
              <w:sz w:val="20"/>
            </w:rPr>
            <w:t>Rutin: ID-kontroll patient</w:t>
          </w:r>
        </w:p>
      </w:tc>
      <w:tc>
        <w:tcPr>
          <w:tcW w:w="1933" w:type="dxa"/>
        </w:tcPr>
        <w:p w14:paraId="320295E4" w14:textId="77777777" w:rsidR="000D6F1B" w:rsidRDefault="00654199" w:rsidP="000D6F1B">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01EED0C1" w14:textId="77777777" w:rsidTr="00595120">
      <w:tc>
        <w:tcPr>
          <w:tcW w:w="7083" w:type="dxa"/>
        </w:tcPr>
        <w:p w14:paraId="4CE66246" w14:textId="05F0BAC6" w:rsidR="000D6F1B" w:rsidRPr="00730DA5" w:rsidRDefault="00654199" w:rsidP="000D6F1B">
          <w:pPr>
            <w:pStyle w:val="Footer"/>
            <w:rPr>
              <w:sz w:val="20"/>
            </w:rPr>
          </w:pPr>
          <w:r w:rsidRPr="37904626">
            <w:rPr>
              <w:sz w:val="20"/>
              <w:szCs w:val="20"/>
            </w:rPr>
            <w:t>Fastställd av: Regional Säkerhetsansvarig, Publicerad: 2022-07-11</w:t>
          </w:r>
        </w:p>
      </w:tc>
      <w:tc>
        <w:tcPr>
          <w:tcW w:w="1933" w:type="dxa"/>
        </w:tcPr>
        <w:p w14:paraId="3D5506B3" w14:textId="77777777" w:rsidR="000D6F1B" w:rsidRPr="00CE3B56" w:rsidRDefault="00763D12" w:rsidP="000D6F1B">
          <w:pPr>
            <w:pStyle w:val="Footer"/>
            <w:jc w:val="right"/>
            <w:rPr>
              <w:sz w:val="20"/>
            </w:rPr>
          </w:pPr>
        </w:p>
      </w:tc>
    </w:tr>
    <w:tr w:rsidR="000D6F1B" w14:paraId="0A90BD92" w14:textId="77777777" w:rsidTr="00595120">
      <w:tc>
        <w:tcPr>
          <w:tcW w:w="7083" w:type="dxa"/>
        </w:tcPr>
        <w:p w14:paraId="41CB39C8" w14:textId="77777777" w:rsidR="000D6F1B" w:rsidRPr="37904626" w:rsidRDefault="00654199" w:rsidP="000D6F1B">
          <w:pPr>
            <w:pStyle w:val="Footer"/>
            <w:rPr>
              <w:sz w:val="20"/>
              <w:szCs w:val="20"/>
            </w:rPr>
          </w:pPr>
          <w:r>
            <w:rPr>
              <w:sz w:val="20"/>
            </w:rPr>
            <w:t>Huvudförfattare: Pettersson Hans RK STAB</w:t>
          </w:r>
        </w:p>
      </w:tc>
      <w:tc>
        <w:tcPr>
          <w:tcW w:w="1933" w:type="dxa"/>
        </w:tcPr>
        <w:p w14:paraId="2C7473F1" w14:textId="77777777" w:rsidR="000D6F1B" w:rsidRPr="00CE3B56" w:rsidRDefault="00763D12" w:rsidP="000D6F1B">
          <w:pPr>
            <w:pStyle w:val="Footer"/>
            <w:jc w:val="right"/>
            <w:rPr>
              <w:sz w:val="20"/>
            </w:rPr>
          </w:pPr>
        </w:p>
      </w:tc>
    </w:tr>
  </w:tbl>
  <w:p w14:paraId="2E4ECF54" w14:textId="77777777" w:rsidR="000D6F1B" w:rsidRDefault="00763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AD36" w14:textId="77777777" w:rsidR="00FF13AF" w:rsidRDefault="00FF13AF" w:rsidP="007C5174">
      <w:pPr>
        <w:spacing w:line="240" w:lineRule="auto"/>
      </w:pPr>
      <w:r>
        <w:separator/>
      </w:r>
    </w:p>
  </w:footnote>
  <w:footnote w:type="continuationSeparator" w:id="0">
    <w:p w14:paraId="12C31D9A" w14:textId="77777777" w:rsidR="00FF13AF" w:rsidRDefault="00FF13AF" w:rsidP="007C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EA23" w14:textId="77777777" w:rsidR="00FE4EA4" w:rsidRDefault="00763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E219F1" w14:paraId="46B1816B" w14:textId="77777777" w:rsidTr="00220BF1">
      <w:trPr>
        <w:trHeight w:val="841"/>
      </w:trPr>
      <w:tc>
        <w:tcPr>
          <w:tcW w:w="4508" w:type="dxa"/>
        </w:tcPr>
        <w:p w14:paraId="7737927F" w14:textId="77777777" w:rsidR="00E219F1" w:rsidRDefault="00654199" w:rsidP="00E219F1">
          <w:pPr>
            <w:pStyle w:val="Header"/>
          </w:pPr>
          <w:r w:rsidRPr="00CE3B56">
            <w:rPr>
              <w:sz w:val="20"/>
            </w:rPr>
            <w:t>Gäller för:</w:t>
          </w:r>
          <w:r>
            <w:rPr>
              <w:sz w:val="20"/>
            </w:rPr>
            <w:t xml:space="preserve"> </w:t>
          </w:r>
          <w:r w:rsidRPr="0090517B">
            <w:rPr>
              <w:sz w:val="20"/>
            </w:rPr>
            <w:t>Region Halland</w:t>
          </w:r>
        </w:p>
      </w:tc>
      <w:tc>
        <w:tcPr>
          <w:tcW w:w="4508" w:type="dxa"/>
        </w:tcPr>
        <w:p w14:paraId="29FC14AA" w14:textId="77777777" w:rsidR="00E219F1" w:rsidRDefault="00654199" w:rsidP="00E219F1">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1601A7BD" w14:textId="77777777" w:rsidR="00A479E9" w:rsidRDefault="00763D12" w:rsidP="00E21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0D6F1B" w14:paraId="1E211FE8" w14:textId="77777777" w:rsidTr="00595120">
      <w:trPr>
        <w:trHeight w:val="841"/>
      </w:trPr>
      <w:tc>
        <w:tcPr>
          <w:tcW w:w="4508" w:type="dxa"/>
        </w:tcPr>
        <w:p w14:paraId="19A9EEB7" w14:textId="77777777" w:rsidR="000D6F1B" w:rsidRDefault="00654199" w:rsidP="000D6F1B">
          <w:pPr>
            <w:pStyle w:val="Header"/>
          </w:pPr>
          <w:r w:rsidRPr="00CE3B56">
            <w:rPr>
              <w:sz w:val="20"/>
            </w:rPr>
            <w:t>Gäller för:</w:t>
          </w:r>
          <w:r>
            <w:rPr>
              <w:sz w:val="20"/>
            </w:rPr>
            <w:t xml:space="preserve"> </w:t>
          </w:r>
          <w:r w:rsidRPr="0090517B">
            <w:rPr>
              <w:sz w:val="20"/>
            </w:rPr>
            <w:t>Region Halland</w:t>
          </w:r>
        </w:p>
      </w:tc>
      <w:tc>
        <w:tcPr>
          <w:tcW w:w="4508" w:type="dxa"/>
        </w:tcPr>
        <w:p w14:paraId="2737AE29" w14:textId="77777777" w:rsidR="000D6F1B" w:rsidRDefault="00654199" w:rsidP="000D6F1B">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2FC22883" w14:textId="77777777" w:rsidR="008B0B3E" w:rsidRDefault="00763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CDC"/>
    <w:multiLevelType w:val="hybridMultilevel"/>
    <w:tmpl w:val="27425E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62113"/>
    <w:multiLevelType w:val="hybridMultilevel"/>
    <w:tmpl w:val="937A17CC"/>
    <w:lvl w:ilvl="0" w:tplc="D2FA670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D26509"/>
    <w:multiLevelType w:val="multilevel"/>
    <w:tmpl w:val="D3B2D0B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B349A5"/>
    <w:multiLevelType w:val="hybridMultilevel"/>
    <w:tmpl w:val="11F69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CF4D5F"/>
    <w:multiLevelType w:val="hybridMultilevel"/>
    <w:tmpl w:val="0568D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61F4E15"/>
    <w:multiLevelType w:val="hybridMultilevel"/>
    <w:tmpl w:val="B9D4B2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95051929">
    <w:abstractNumId w:val="3"/>
  </w:num>
  <w:num w:numId="2" w16cid:durableId="1083188507">
    <w:abstractNumId w:val="5"/>
  </w:num>
  <w:num w:numId="3" w16cid:durableId="296692757">
    <w:abstractNumId w:val="0"/>
  </w:num>
  <w:num w:numId="4" w16cid:durableId="1368137422">
    <w:abstractNumId w:val="4"/>
  </w:num>
  <w:num w:numId="5" w16cid:durableId="1501197792">
    <w:abstractNumId w:val="1"/>
  </w:num>
  <w:num w:numId="6" w16cid:durableId="123254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244DB"/>
    <w:rsid w:val="0003052A"/>
    <w:rsid w:val="00033803"/>
    <w:rsid w:val="00042AAF"/>
    <w:rsid w:val="00060467"/>
    <w:rsid w:val="00067CE4"/>
    <w:rsid w:val="0007071F"/>
    <w:rsid w:val="00072DB4"/>
    <w:rsid w:val="00083AC2"/>
    <w:rsid w:val="0009005C"/>
    <w:rsid w:val="000913EF"/>
    <w:rsid w:val="00093BC0"/>
    <w:rsid w:val="000C5B27"/>
    <w:rsid w:val="000C5CCA"/>
    <w:rsid w:val="000C6EFC"/>
    <w:rsid w:val="000D7890"/>
    <w:rsid w:val="000E165F"/>
    <w:rsid w:val="000E1E29"/>
    <w:rsid w:val="000E60D7"/>
    <w:rsid w:val="000E699B"/>
    <w:rsid w:val="00103907"/>
    <w:rsid w:val="00117F3E"/>
    <w:rsid w:val="001215D2"/>
    <w:rsid w:val="001216E8"/>
    <w:rsid w:val="00132BBA"/>
    <w:rsid w:val="001355AF"/>
    <w:rsid w:val="00136C3A"/>
    <w:rsid w:val="00136C99"/>
    <w:rsid w:val="00144DC1"/>
    <w:rsid w:val="001547DC"/>
    <w:rsid w:val="001566D2"/>
    <w:rsid w:val="001839A8"/>
    <w:rsid w:val="001854D5"/>
    <w:rsid w:val="00190CB5"/>
    <w:rsid w:val="001A2FB0"/>
    <w:rsid w:val="001B7F84"/>
    <w:rsid w:val="001C0125"/>
    <w:rsid w:val="001C464E"/>
    <w:rsid w:val="001C5990"/>
    <w:rsid w:val="001D6DFC"/>
    <w:rsid w:val="001E0273"/>
    <w:rsid w:val="001F1174"/>
    <w:rsid w:val="00202A52"/>
    <w:rsid w:val="00202B41"/>
    <w:rsid w:val="00203DA6"/>
    <w:rsid w:val="00205476"/>
    <w:rsid w:val="00215A1C"/>
    <w:rsid w:val="00217411"/>
    <w:rsid w:val="00223BA5"/>
    <w:rsid w:val="00230DEF"/>
    <w:rsid w:val="00237F50"/>
    <w:rsid w:val="00273E65"/>
    <w:rsid w:val="00274157"/>
    <w:rsid w:val="0027597E"/>
    <w:rsid w:val="00276A44"/>
    <w:rsid w:val="002820AD"/>
    <w:rsid w:val="00283CFF"/>
    <w:rsid w:val="002B4A8C"/>
    <w:rsid w:val="002C5A33"/>
    <w:rsid w:val="002C65B1"/>
    <w:rsid w:val="002D20A2"/>
    <w:rsid w:val="002D33E6"/>
    <w:rsid w:val="002D36BE"/>
    <w:rsid w:val="002D7BB0"/>
    <w:rsid w:val="002E2675"/>
    <w:rsid w:val="002F50B4"/>
    <w:rsid w:val="00303CBF"/>
    <w:rsid w:val="00310836"/>
    <w:rsid w:val="00313550"/>
    <w:rsid w:val="00320A4E"/>
    <w:rsid w:val="00321BBC"/>
    <w:rsid w:val="00324216"/>
    <w:rsid w:val="003351A1"/>
    <w:rsid w:val="0034018C"/>
    <w:rsid w:val="00340C4E"/>
    <w:rsid w:val="003714EF"/>
    <w:rsid w:val="00383B56"/>
    <w:rsid w:val="00395BD5"/>
    <w:rsid w:val="003C2636"/>
    <w:rsid w:val="003D1342"/>
    <w:rsid w:val="003D72E0"/>
    <w:rsid w:val="003E4C33"/>
    <w:rsid w:val="003E7084"/>
    <w:rsid w:val="003F0B5E"/>
    <w:rsid w:val="003F32E2"/>
    <w:rsid w:val="004003B6"/>
    <w:rsid w:val="00401B6D"/>
    <w:rsid w:val="00405B68"/>
    <w:rsid w:val="00407792"/>
    <w:rsid w:val="00410782"/>
    <w:rsid w:val="0041440F"/>
    <w:rsid w:val="004158A7"/>
    <w:rsid w:val="00426996"/>
    <w:rsid w:val="0043196A"/>
    <w:rsid w:val="00434D3D"/>
    <w:rsid w:val="00440129"/>
    <w:rsid w:val="00441F02"/>
    <w:rsid w:val="0046329A"/>
    <w:rsid w:val="00463EC1"/>
    <w:rsid w:val="00471193"/>
    <w:rsid w:val="00474A93"/>
    <w:rsid w:val="004802CF"/>
    <w:rsid w:val="00487D4D"/>
    <w:rsid w:val="00491BEF"/>
    <w:rsid w:val="004A0A00"/>
    <w:rsid w:val="004A4E8F"/>
    <w:rsid w:val="004A6E9A"/>
    <w:rsid w:val="004B2BFA"/>
    <w:rsid w:val="004B3028"/>
    <w:rsid w:val="004B5B43"/>
    <w:rsid w:val="004C5D7D"/>
    <w:rsid w:val="004C6731"/>
    <w:rsid w:val="004D395A"/>
    <w:rsid w:val="004D4C9A"/>
    <w:rsid w:val="004D5954"/>
    <w:rsid w:val="004E16C9"/>
    <w:rsid w:val="004F619B"/>
    <w:rsid w:val="005005F2"/>
    <w:rsid w:val="005019F4"/>
    <w:rsid w:val="005074CF"/>
    <w:rsid w:val="005334B0"/>
    <w:rsid w:val="00534D23"/>
    <w:rsid w:val="005354DD"/>
    <w:rsid w:val="00535B6E"/>
    <w:rsid w:val="00536397"/>
    <w:rsid w:val="00554222"/>
    <w:rsid w:val="00555EF2"/>
    <w:rsid w:val="00582E68"/>
    <w:rsid w:val="00584CCB"/>
    <w:rsid w:val="005A7427"/>
    <w:rsid w:val="005B5BE1"/>
    <w:rsid w:val="005C13B9"/>
    <w:rsid w:val="005C5E3C"/>
    <w:rsid w:val="005C7008"/>
    <w:rsid w:val="005D7012"/>
    <w:rsid w:val="005E2C51"/>
    <w:rsid w:val="005E349B"/>
    <w:rsid w:val="005F6BA7"/>
    <w:rsid w:val="00601881"/>
    <w:rsid w:val="0061657A"/>
    <w:rsid w:val="00623B44"/>
    <w:rsid w:val="00626D1D"/>
    <w:rsid w:val="006329E6"/>
    <w:rsid w:val="006352F3"/>
    <w:rsid w:val="00643E2A"/>
    <w:rsid w:val="00646179"/>
    <w:rsid w:val="00654199"/>
    <w:rsid w:val="006674DF"/>
    <w:rsid w:val="00667760"/>
    <w:rsid w:val="00672773"/>
    <w:rsid w:val="00674927"/>
    <w:rsid w:val="00677C68"/>
    <w:rsid w:val="0068054F"/>
    <w:rsid w:val="006805DA"/>
    <w:rsid w:val="00684887"/>
    <w:rsid w:val="006A014B"/>
    <w:rsid w:val="006A0ED5"/>
    <w:rsid w:val="006C730F"/>
    <w:rsid w:val="006E0E6B"/>
    <w:rsid w:val="006E7AEB"/>
    <w:rsid w:val="00714E07"/>
    <w:rsid w:val="00721BCD"/>
    <w:rsid w:val="007243A4"/>
    <w:rsid w:val="007274C6"/>
    <w:rsid w:val="00733353"/>
    <w:rsid w:val="007353F9"/>
    <w:rsid w:val="00742BCE"/>
    <w:rsid w:val="00763D12"/>
    <w:rsid w:val="00784F30"/>
    <w:rsid w:val="007A0F28"/>
    <w:rsid w:val="007C2132"/>
    <w:rsid w:val="007C5174"/>
    <w:rsid w:val="007D0CB0"/>
    <w:rsid w:val="00806C7B"/>
    <w:rsid w:val="008073E0"/>
    <w:rsid w:val="008134E6"/>
    <w:rsid w:val="0081384E"/>
    <w:rsid w:val="008209A9"/>
    <w:rsid w:val="00821480"/>
    <w:rsid w:val="00830E55"/>
    <w:rsid w:val="008350E6"/>
    <w:rsid w:val="00846C63"/>
    <w:rsid w:val="00852D66"/>
    <w:rsid w:val="00863AE7"/>
    <w:rsid w:val="008678B7"/>
    <w:rsid w:val="00873903"/>
    <w:rsid w:val="008970ED"/>
    <w:rsid w:val="008A0826"/>
    <w:rsid w:val="008A273B"/>
    <w:rsid w:val="008B0CA1"/>
    <w:rsid w:val="008C0F48"/>
    <w:rsid w:val="008C4985"/>
    <w:rsid w:val="008C7F95"/>
    <w:rsid w:val="008D3B55"/>
    <w:rsid w:val="008E5F91"/>
    <w:rsid w:val="008F2365"/>
    <w:rsid w:val="0091459D"/>
    <w:rsid w:val="00930D6B"/>
    <w:rsid w:val="0094534E"/>
    <w:rsid w:val="009552AA"/>
    <w:rsid w:val="0098452E"/>
    <w:rsid w:val="00984928"/>
    <w:rsid w:val="009857F8"/>
    <w:rsid w:val="00994832"/>
    <w:rsid w:val="00997A5E"/>
    <w:rsid w:val="009A0600"/>
    <w:rsid w:val="009A3589"/>
    <w:rsid w:val="009A4CED"/>
    <w:rsid w:val="009B0672"/>
    <w:rsid w:val="009B17A7"/>
    <w:rsid w:val="009C4947"/>
    <w:rsid w:val="009C51D8"/>
    <w:rsid w:val="009D47DD"/>
    <w:rsid w:val="009E0378"/>
    <w:rsid w:val="009E3F28"/>
    <w:rsid w:val="009E4819"/>
    <w:rsid w:val="009F303D"/>
    <w:rsid w:val="00A0326F"/>
    <w:rsid w:val="00A118DF"/>
    <w:rsid w:val="00A173C7"/>
    <w:rsid w:val="00A31697"/>
    <w:rsid w:val="00A33C14"/>
    <w:rsid w:val="00A4094F"/>
    <w:rsid w:val="00A43143"/>
    <w:rsid w:val="00A473A6"/>
    <w:rsid w:val="00A56AF1"/>
    <w:rsid w:val="00A656BF"/>
    <w:rsid w:val="00A77B52"/>
    <w:rsid w:val="00A96FBC"/>
    <w:rsid w:val="00AA0387"/>
    <w:rsid w:val="00AA251F"/>
    <w:rsid w:val="00AB2761"/>
    <w:rsid w:val="00AD47F2"/>
    <w:rsid w:val="00AD49DA"/>
    <w:rsid w:val="00AF2016"/>
    <w:rsid w:val="00B02A40"/>
    <w:rsid w:val="00B17BC8"/>
    <w:rsid w:val="00B21F6C"/>
    <w:rsid w:val="00B242B0"/>
    <w:rsid w:val="00B305A9"/>
    <w:rsid w:val="00B36D6A"/>
    <w:rsid w:val="00B37465"/>
    <w:rsid w:val="00B46226"/>
    <w:rsid w:val="00B47A6A"/>
    <w:rsid w:val="00B5249C"/>
    <w:rsid w:val="00B602B2"/>
    <w:rsid w:val="00B65D9B"/>
    <w:rsid w:val="00B768D6"/>
    <w:rsid w:val="00B80362"/>
    <w:rsid w:val="00B86639"/>
    <w:rsid w:val="00B90063"/>
    <w:rsid w:val="00BA22E3"/>
    <w:rsid w:val="00BB6348"/>
    <w:rsid w:val="00BB743B"/>
    <w:rsid w:val="00BB764B"/>
    <w:rsid w:val="00BC076E"/>
    <w:rsid w:val="00BC3B41"/>
    <w:rsid w:val="00BC5BB7"/>
    <w:rsid w:val="00BE1FF4"/>
    <w:rsid w:val="00BE2B21"/>
    <w:rsid w:val="00BE35A7"/>
    <w:rsid w:val="00BE7230"/>
    <w:rsid w:val="00BF5133"/>
    <w:rsid w:val="00C0539B"/>
    <w:rsid w:val="00C06176"/>
    <w:rsid w:val="00C10B77"/>
    <w:rsid w:val="00C14965"/>
    <w:rsid w:val="00C2395E"/>
    <w:rsid w:val="00C25108"/>
    <w:rsid w:val="00C321F5"/>
    <w:rsid w:val="00C33E13"/>
    <w:rsid w:val="00C367F4"/>
    <w:rsid w:val="00C518FB"/>
    <w:rsid w:val="00C538A2"/>
    <w:rsid w:val="00C60C20"/>
    <w:rsid w:val="00C65B77"/>
    <w:rsid w:val="00C70513"/>
    <w:rsid w:val="00C84E92"/>
    <w:rsid w:val="00C924F9"/>
    <w:rsid w:val="00CA020D"/>
    <w:rsid w:val="00CA0E03"/>
    <w:rsid w:val="00CA26FC"/>
    <w:rsid w:val="00CA6A74"/>
    <w:rsid w:val="00CA7EDC"/>
    <w:rsid w:val="00CC1550"/>
    <w:rsid w:val="00CE43C3"/>
    <w:rsid w:val="00D17D75"/>
    <w:rsid w:val="00D30CD9"/>
    <w:rsid w:val="00D353B3"/>
    <w:rsid w:val="00D408CB"/>
    <w:rsid w:val="00D4686E"/>
    <w:rsid w:val="00D90DA1"/>
    <w:rsid w:val="00D92B0E"/>
    <w:rsid w:val="00DB1912"/>
    <w:rsid w:val="00DD11D1"/>
    <w:rsid w:val="00DD2AF9"/>
    <w:rsid w:val="00DF0EC5"/>
    <w:rsid w:val="00DF4E3F"/>
    <w:rsid w:val="00E005EF"/>
    <w:rsid w:val="00E014C2"/>
    <w:rsid w:val="00E02FE2"/>
    <w:rsid w:val="00E07742"/>
    <w:rsid w:val="00E34D74"/>
    <w:rsid w:val="00E410C7"/>
    <w:rsid w:val="00E45A20"/>
    <w:rsid w:val="00E60525"/>
    <w:rsid w:val="00E65712"/>
    <w:rsid w:val="00E65973"/>
    <w:rsid w:val="00E87E96"/>
    <w:rsid w:val="00E90F86"/>
    <w:rsid w:val="00EA0542"/>
    <w:rsid w:val="00EB29C5"/>
    <w:rsid w:val="00EB7097"/>
    <w:rsid w:val="00EC06A9"/>
    <w:rsid w:val="00EC7325"/>
    <w:rsid w:val="00ED18CE"/>
    <w:rsid w:val="00ED2C50"/>
    <w:rsid w:val="00ED5095"/>
    <w:rsid w:val="00EF514E"/>
    <w:rsid w:val="00F0036D"/>
    <w:rsid w:val="00F20994"/>
    <w:rsid w:val="00F26DDF"/>
    <w:rsid w:val="00F34EDF"/>
    <w:rsid w:val="00F42938"/>
    <w:rsid w:val="00F50867"/>
    <w:rsid w:val="00F554B0"/>
    <w:rsid w:val="00F61F39"/>
    <w:rsid w:val="00F630E9"/>
    <w:rsid w:val="00F80DDA"/>
    <w:rsid w:val="00F85FA8"/>
    <w:rsid w:val="00F877DF"/>
    <w:rsid w:val="00F94798"/>
    <w:rsid w:val="00F963D1"/>
    <w:rsid w:val="00F9703E"/>
    <w:rsid w:val="00FA12F1"/>
    <w:rsid w:val="00FA1405"/>
    <w:rsid w:val="00FB3B54"/>
    <w:rsid w:val="00FB65BB"/>
    <w:rsid w:val="00FC39B1"/>
    <w:rsid w:val="00FD1385"/>
    <w:rsid w:val="00FE2E2D"/>
    <w:rsid w:val="00FF0100"/>
    <w:rsid w:val="00FF13AF"/>
    <w:rsid w:val="00FF316F"/>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C14CC1"/>
  <w15:docId w15:val="{6EAEF8FD-978A-4E58-A7D1-1AF86E6E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B4"/>
    <w:pPr>
      <w:spacing w:line="276" w:lineRule="auto"/>
    </w:pPr>
    <w:rPr>
      <w:rFonts w:ascii="Arial" w:hAnsi="Arial"/>
      <w:sz w:val="24"/>
      <w:szCs w:val="24"/>
    </w:rPr>
  </w:style>
  <w:style w:type="paragraph" w:styleId="Heading1">
    <w:name w:val="heading 1"/>
    <w:basedOn w:val="ListParagraph"/>
    <w:next w:val="Normal"/>
    <w:link w:val="Heading1Char"/>
    <w:qFormat/>
    <w:rsid w:val="00A479E9"/>
    <w:pPr>
      <w:numPr>
        <w:numId w:val="0"/>
      </w:numPr>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rsid w:val="002F50B4"/>
    <w:rPr>
      <w:rFonts w:ascii="Arial" w:hAnsi="Arial" w:cs="Arial"/>
      <w:b/>
      <w:bCs/>
      <w:kern w:val="32"/>
      <w:sz w:val="36"/>
      <w:szCs w:val="32"/>
    </w:rPr>
  </w:style>
  <w:style w:type="character" w:customStyle="1" w:styleId="Heading2Char">
    <w:name w:val="Heading 2 Char"/>
    <w:basedOn w:val="DefaultParagraphFont"/>
    <w:link w:val="Heading2"/>
    <w:rsid w:val="002F50B4"/>
    <w:rPr>
      <w:rFonts w:ascii="Arial" w:hAnsi="Arial" w:cs="Arial"/>
      <w:b/>
      <w:bCs/>
      <w:iCs/>
      <w:sz w:val="28"/>
      <w:szCs w:val="28"/>
    </w:rPr>
  </w:style>
  <w:style w:type="character" w:customStyle="1" w:styleId="Heading3Char">
    <w:name w:val="Heading 3 Char"/>
    <w:basedOn w:val="DefaultParagraphFont"/>
    <w:link w:val="Heading3"/>
    <w:rsid w:val="002F50B4"/>
    <w:rPr>
      <w:rFonts w:ascii="Arial" w:hAnsi="Arial" w:cs="Arial"/>
      <w:b/>
      <w:bCs/>
      <w:sz w:val="24"/>
      <w:szCs w:val="26"/>
    </w:rPr>
  </w:style>
  <w:style w:type="paragraph" w:styleId="Header">
    <w:name w:val="header"/>
    <w:basedOn w:val="Normal"/>
    <w:link w:val="HeaderChar"/>
    <w:uiPriority w:val="99"/>
    <w:pPr>
      <w:tabs>
        <w:tab w:val="center" w:pos="4536"/>
        <w:tab w:val="right" w:pos="9072"/>
      </w:tabs>
    </w:pPr>
  </w:style>
  <w:style w:type="character" w:customStyle="1" w:styleId="SidhuvudChar">
    <w:name w:val="Sidhuvud Char"/>
    <w:basedOn w:val="DefaultParagraphFont"/>
    <w:uiPriority w:val="99"/>
    <w:rsid w:val="007C5174"/>
    <w:rPr>
      <w:rFonts w:ascii="Arial" w:hAnsi="Arial"/>
      <w:sz w:val="24"/>
      <w:szCs w:val="24"/>
    </w:rPr>
  </w:style>
  <w:style w:type="paragraph" w:styleId="Footer">
    <w:name w:val="footer"/>
    <w:basedOn w:val="Normal"/>
    <w:link w:val="FooterChar"/>
    <w:uiPriority w:val="99"/>
    <w:pPr>
      <w:tabs>
        <w:tab w:val="center" w:pos="4536"/>
        <w:tab w:val="right" w:pos="9072"/>
      </w:tabs>
    </w:pPr>
  </w:style>
  <w:style w:type="character" w:customStyle="1" w:styleId="SidfotChar">
    <w:name w:val="Sidfot Char"/>
    <w:basedOn w:val="DefaultParagraphFont"/>
    <w:uiPriority w:val="99"/>
    <w:rsid w:val="007C5174"/>
    <w:rPr>
      <w:rFonts w:ascii="Arial" w:hAnsi="Arial"/>
      <w:sz w:val="24"/>
      <w:szCs w:val="24"/>
    </w:rPr>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basedOn w:val="DefaultParagraphFont"/>
    <w:uiPriority w:val="99"/>
    <w:semiHidden/>
    <w:rsid w:val="007C5174"/>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566"/>
    <w:pPr>
      <w:numPr>
        <w:numId w:val="6"/>
      </w:numPr>
      <w:ind w:left="1434" w:hanging="357"/>
      <w:contextualSpacing/>
    </w:pPr>
    <w:rPr>
      <w:rFonts w:eastAsia="Calibri"/>
      <w:szCs w:val="22"/>
    </w:rPr>
  </w:style>
  <w:style w:type="character" w:styleId="Hyperlink">
    <w:name w:val="Hyperlink"/>
    <w:uiPriority w:val="99"/>
    <w:unhideWhenUsed/>
    <w:rsid w:val="00647E41"/>
    <w:rPr>
      <w:color w:val="0000FF"/>
      <w:u w:val="single"/>
    </w:rPr>
  </w:style>
  <w:style w:type="paragraph" w:styleId="Title">
    <w:name w:val="Title"/>
    <w:basedOn w:val="Heading2"/>
    <w:next w:val="Normal"/>
    <w:link w:val="TitleChar"/>
    <w:qFormat/>
    <w:rsid w:val="00E71832"/>
    <w:rPr>
      <w:sz w:val="32"/>
      <w:szCs w:val="40"/>
    </w:rPr>
  </w:style>
  <w:style w:type="character" w:customStyle="1" w:styleId="RubrikChar">
    <w:name w:val="Rubrik Char"/>
    <w:basedOn w:val="DefaultParagraphFont"/>
    <w:rsid w:val="004D5954"/>
    <w:rPr>
      <w:rFonts w:ascii="Arial" w:hAnsi="Arial" w:cs="Arial"/>
      <w:b/>
      <w:sz w:val="40"/>
      <w:szCs w:val="40"/>
      <w:lang w:eastAsia="sv-SE"/>
    </w:r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customStyle="1" w:styleId="Default">
    <w:name w:val="Default"/>
    <w:rsid w:val="00FF13AF"/>
    <w:pPr>
      <w:autoSpaceDE w:val="0"/>
      <w:autoSpaceDN w:val="0"/>
      <w:adjustRightInd w:val="0"/>
    </w:pPr>
    <w:rPr>
      <w:rFonts w:ascii="Arial" w:hAnsi="Arial" w:cs="Arial"/>
      <w:color w:val="000000"/>
      <w:sz w:val="24"/>
      <w:szCs w:val="24"/>
      <w:lang w:eastAsia="sv-SE"/>
    </w:rPr>
  </w:style>
  <w:style w:type="character" w:styleId="FollowedHyperlink">
    <w:name w:val="FollowedHyperlink"/>
    <w:basedOn w:val="DefaultParagraphFont"/>
    <w:uiPriority w:val="99"/>
    <w:semiHidden/>
    <w:unhideWhenUsed/>
    <w:rsid w:val="00223BA5"/>
    <w:rPr>
      <w:color w:val="800080" w:themeColor="followedHyperlink"/>
      <w:u w:val="single"/>
    </w:rPr>
  </w:style>
  <w:style w:type="paragraph" w:styleId="NormalWeb">
    <w:name w:val="Normal (Web)"/>
    <w:basedOn w:val="Normal"/>
    <w:uiPriority w:val="99"/>
    <w:unhideWhenUsed/>
    <w:rsid w:val="00647E41"/>
    <w:pPr>
      <w:spacing w:before="100" w:beforeAutospacing="1" w:after="100" w:afterAutospacing="1"/>
    </w:p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335">
      <w:bodyDiv w:val="1"/>
      <w:marLeft w:val="0"/>
      <w:marRight w:val="0"/>
      <w:marTop w:val="0"/>
      <w:marBottom w:val="0"/>
      <w:divBdr>
        <w:top w:val="none" w:sz="0" w:space="0" w:color="auto"/>
        <w:left w:val="none" w:sz="0" w:space="0" w:color="auto"/>
        <w:bottom w:val="none" w:sz="0" w:space="0" w:color="auto"/>
        <w:right w:val="none" w:sz="0" w:space="0" w:color="auto"/>
      </w:divBdr>
    </w:div>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1667241220">
      <w:bodyDiv w:val="1"/>
      <w:marLeft w:val="0"/>
      <w:marRight w:val="0"/>
      <w:marTop w:val="0"/>
      <w:marBottom w:val="0"/>
      <w:divBdr>
        <w:top w:val="none" w:sz="0" w:space="0" w:color="auto"/>
        <w:left w:val="none" w:sz="0" w:space="0" w:color="auto"/>
        <w:bottom w:val="none" w:sz="0" w:space="0" w:color="auto"/>
        <w:right w:val="none" w:sz="0" w:space="0" w:color="auto"/>
      </w:divBdr>
    </w:div>
    <w:div w:id="1733428297">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onhalland.se/sidhuvud/bestall-ladda-ner/vard-och-halsa1/affischer-kort-mm/ovriga-affischer/vanligen-visa-legitimation-sky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regionhalland.se/sidhuvud/bestall-ladda-ner/vard-och-halsa1/affischer-kort-mm/ovriga-affischer/vanligen-visa-legiti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h.sharepoint.com/sites/Informationssakerhet_och_sakerhet/ODMPublished/RH-9701/Identitet%20patient%20-%20fastst&#228;llande.docx?web=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h.sharepoint.com/sites/Informationssakerhet_och_sakerhet/ODMPublished/RH-10161/VAS%20&#8211;%20Reservnummer.docx?web=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h.sharepoint.com/sites/Informationssakerhet_och_sakerhet/ODMPublished/RH-9701/Identitet%20patient%20-%20fastst&#228;llande.docx?web=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75</Value>
      <Value>47</Value>
      <Value>12</Value>
      <Value>78</Value>
      <Value>36</Value>
      <Value>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2022-07-10T22:00:00+00:00</RHI_ApprovedDate_Temp>
    <FSCD_DocumentEdition_Temp xmlns="a20921a3-d337-4f28-a5a8-d9fac85c55a0">18</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40</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18.0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9426816e-757e-4b3e-ac94-aee9d31b8edd</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B1D2D-03C7-4414-82D4-88A6A11E5D91}">
  <ds:schemaRefs>
    <ds:schemaRef ds:uri="http://schemas.microsoft.com/sharepoint/v3/contenttype/forms"/>
  </ds:schemaRefs>
</ds:datastoreItem>
</file>

<file path=customXml/itemProps2.xml><?xml version="1.0" encoding="utf-8"?>
<ds:datastoreItem xmlns:ds="http://schemas.openxmlformats.org/officeDocument/2006/customXml" ds:itemID="{A52BB1C0-BAEB-4D5E-8F87-AB2DB8E1B9C3}">
  <ds:schemaRefs>
    <ds:schemaRef ds:uri="http://schemas.microsoft.com/office/infopath/2007/PartnerControls"/>
    <ds:schemaRef ds:uri="http://www.w3.org/XML/1998/namespace"/>
    <ds:schemaRef ds:uri="628576a3-8434-4986-aeeb-c9c5c3947adc"/>
    <ds:schemaRef ds:uri="95adaae7-f3b8-4594-ad2f-b3cc4c460f26"/>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sharepoint/v4"/>
    <ds:schemaRef ds:uri="http://schemas.microsoft.com/sharepoint/v3"/>
    <ds:schemaRef ds:uri="http://purl.org/dc/dcmitype/"/>
    <ds:schemaRef ds:uri="d7020d13-187d-4fc8-9816-bd01783b86ee"/>
    <ds:schemaRef ds:uri="a20921a3-d337-4f28-a5a8-d9fac85c55a0"/>
  </ds:schemaRefs>
</ds:datastoreItem>
</file>

<file path=customXml/itemProps3.xml><?xml version="1.0" encoding="utf-8"?>
<ds:datastoreItem xmlns:ds="http://schemas.openxmlformats.org/officeDocument/2006/customXml" ds:itemID="{BDED6ED2-13F4-47EE-BF09-92001C33970A}">
  <ds:schemaRefs>
    <ds:schemaRef ds:uri="http://schemas.microsoft.com/office/2006/metadata/customXsn"/>
  </ds:schemaRefs>
</ds:datastoreItem>
</file>

<file path=customXml/itemProps4.xml><?xml version="1.0" encoding="utf-8"?>
<ds:datastoreItem xmlns:ds="http://schemas.openxmlformats.org/officeDocument/2006/customXml" ds:itemID="{F5AC7AA3-B6E2-40B0-9C1B-E15C10B908C5}">
  <ds:schemaRefs>
    <ds:schemaRef ds:uri="http://schemas.openxmlformats.org/officeDocument/2006/bibliography"/>
  </ds:schemaRefs>
</ds:datastoreItem>
</file>

<file path=customXml/itemProps5.xml><?xml version="1.0" encoding="utf-8"?>
<ds:datastoreItem xmlns:ds="http://schemas.openxmlformats.org/officeDocument/2006/customXml" ds:itemID="{2B115D3C-41FD-4E6A-A390-09BF90CC6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1610</Words>
  <Characters>8539</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ID-kontroll patient</vt:lpstr>
      <vt:lpstr/>
    </vt:vector>
  </TitlesOfParts>
  <Company>Microsoft</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ID-kontroll patient</dc:title>
  <dc:creator>Hans.Pettersson@regionhalland.se</dc:creator>
  <cp:lastModifiedBy>Haddad Elias RK EXTERN RESURS</cp:lastModifiedBy>
  <cp:revision>8</cp:revision>
  <dcterms:created xsi:type="dcterms:W3CDTF">2019-05-13T13:52:00Z</dcterms:created>
  <dcterms:modified xsi:type="dcterms:W3CDTF">2023-04-27T02:58:00Z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78;#Patient|120a2a3f-4920-404d-a868-c1e08ddbbcbc;#36;#Informationssäkerhet|504927aa-f8a3-4b57-8428-0aff2c079f5d;#75;#Vårdgivarwebben|a3a2876a-cae2-4a49-a05e-c2d615d2551b</vt:lpwstr>
  </property>
  <property fmtid="{D5CDD505-2E9C-101B-9397-08002B2CF9AE}" pid="8" name="RHI_ApprovedRole">
    <vt:lpwstr>47;#Regional Säkerhetsansvarig|c2426dc2-5c03-4b1a-bc78-da7d2f515dbb</vt:lpwstr>
  </property>
  <property fmtid="{D5CDD505-2E9C-101B-9397-08002B2CF9AE}" pid="9" name="_dlc_DocIdItemGuid">
    <vt:lpwstr>9426816e-757e-4b3e-ac94-aee9d31b8edd</vt:lpwstr>
  </property>
  <property fmtid="{D5CDD505-2E9C-101B-9397-08002B2CF9AE}" pid="10" name="FSCD_DocumentOwner">
    <vt:lpwstr>41;#Pettersson Hans RK STAB</vt:lpwstr>
  </property>
  <property fmtid="{D5CDD505-2E9C-101B-9397-08002B2CF9AE}" pid="11" name="i4d846bafbc94e6c892c2f207f8e6714">
    <vt:lpwstr>Patient|120a2a3f-4920-404d-a868-c1e08ddbbcbc;Informationssäkerhet|504927aa-f8a3-4b57-8428-0aff2c079f5d;Vårdgivarwebben|a3a2876a-cae2-4a49-a05e-c2d615d2551b</vt:lpwstr>
  </property>
  <property fmtid="{D5CDD505-2E9C-101B-9397-08002B2CF9AE}" pid="12" name="RHI_ApprovedDate_Temp">
    <vt:filetime>2021-07-15T22:00:00Z</vt:filetime>
  </property>
  <property fmtid="{D5CDD505-2E9C-101B-9397-08002B2CF9AE}" pid="13" name="FSCD_DocumentEdition_Temp">
    <vt:lpwstr>17</vt:lpwstr>
  </property>
  <property fmtid="{D5CDD505-2E9C-101B-9397-08002B2CF9AE}" pid="14" name="RHI_ReviewersMulti">
    <vt:lpwstr/>
  </property>
  <property fmtid="{D5CDD505-2E9C-101B-9397-08002B2CF9AE}" pid="15" name="RHI_ApproverDisplay_Temp">
    <vt:lpwstr>Nilsson Anders J RK STAB, Regional Säkerhetsansvarig</vt:lpwstr>
  </property>
  <property fmtid="{D5CDD505-2E9C-101B-9397-08002B2CF9AE}" pid="16" name="FSCD_ApprovedBy">
    <vt:lpwstr>41</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Regional Säkerhetsansvarig</vt:lpwstr>
  </property>
  <property fmtid="{D5CDD505-2E9C-101B-9397-08002B2CF9AE}" pid="22" name="FSCD_IsPublished">
    <vt:lpwstr>17.0</vt:lpwstr>
  </property>
  <property fmtid="{D5CDD505-2E9C-101B-9397-08002B2CF9AE}" pid="23" name="RHI_CoAuthorsMulti">
    <vt:lpwstr/>
  </property>
  <property fmtid="{D5CDD505-2E9C-101B-9397-08002B2CF9AE}" pid="24" name="FSCD_DocumentId_Temp">
    <vt:lpwstr>9426816e-757e-4b3e-ac94-aee9d31b8edd</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