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4C43" w:rsidR="006E7AEB" w:rsidP="006E7AEB" w:rsidRDefault="001F4BEC" w14:paraId="21E3E60C" w14:textId="77777777">
      <w:pPr>
        <w:pStyle w:val="Rubrik"/>
        <w:rPr>
          <w:sz w:val="32"/>
        </w:rPr>
      </w:pPr>
      <w:r w:rsidRPr="00A84C43">
        <w:rPr>
          <w:sz w:val="32"/>
        </w:rPr>
        <w:t>Sekretess polisen vid utlämnande av uppgift</w:t>
      </w:r>
    </w:p>
    <w:p w:rsidRPr="00EB7D7D" w:rsidR="006E7AEB" w:rsidP="00EB7D7D" w:rsidRDefault="006E7AEB" w14:paraId="3EFD29EF" w14:textId="77777777">
      <w:pPr>
        <w:rPr>
          <w:rFonts w:cs="Arial"/>
          <w:sz w:val="28"/>
          <w:szCs w:val="28"/>
        </w:rPr>
      </w:pPr>
    </w:p>
    <w:p w:rsidRPr="00A84C43" w:rsidR="001F4BEC" w:rsidP="001F4BEC" w:rsidRDefault="001F4BEC" w14:paraId="113E8BEC" w14:textId="77777777">
      <w:pPr>
        <w:pStyle w:val="Rubrik1"/>
        <w:rPr>
          <w:sz w:val="26"/>
          <w:szCs w:val="26"/>
        </w:rPr>
      </w:pPr>
      <w:r w:rsidRPr="00A84C43">
        <w:rPr>
          <w:sz w:val="26"/>
          <w:szCs w:val="26"/>
        </w:rPr>
        <w:t>Syfte</w:t>
      </w:r>
    </w:p>
    <w:p w:rsidRPr="00A84C43" w:rsidR="001F4BEC" w:rsidP="00A84C43" w:rsidRDefault="001F4BEC" w14:paraId="278A84E6" w14:textId="77777777">
      <w:pPr>
        <w:pStyle w:val="Default"/>
        <w:rPr>
          <w:sz w:val="22"/>
          <w:szCs w:val="22"/>
        </w:rPr>
      </w:pPr>
      <w:r w:rsidRPr="00A84C43">
        <w:rPr>
          <w:sz w:val="22"/>
          <w:szCs w:val="22"/>
        </w:rPr>
        <w:t>Rutinen beskriver de särskilda regler som gäller när polisen begär uppgifter från hälso- och sjukvården och hur en sådan begäran ska hanteras.</w:t>
      </w:r>
    </w:p>
    <w:p w:rsidRPr="00A84C43" w:rsidR="001F4BEC" w:rsidP="00A84C43" w:rsidRDefault="001F4BEC" w14:paraId="08192CD2" w14:textId="77777777">
      <w:pPr>
        <w:pStyle w:val="Default"/>
        <w:rPr>
          <w:sz w:val="22"/>
          <w:szCs w:val="22"/>
        </w:rPr>
      </w:pPr>
    </w:p>
    <w:p w:rsidRPr="00A84C43" w:rsidR="001F4BEC" w:rsidP="001F4BEC" w:rsidRDefault="00264CD9" w14:paraId="4F0AEE09" w14:textId="79239772">
      <w:pPr>
        <w:pStyle w:val="Default"/>
        <w:rPr>
          <w:sz w:val="22"/>
          <w:szCs w:val="22"/>
        </w:rPr>
      </w:pPr>
      <w:r w:rsidRPr="00264CD9">
        <w:rPr>
          <w:sz w:val="22"/>
          <w:szCs w:val="22"/>
        </w:rPr>
        <w:t xml:space="preserve">Grundregeln är att sekretess gäller gentemot polisen och att muntlig eller skriftlig information (exempelvis journalkopior, kvitton från kortbetalning) inte får lämnas ut. Det finns dock vissa undantag enligt nedan. </w:t>
      </w:r>
      <w:r>
        <w:rPr>
          <w:sz w:val="22"/>
          <w:szCs w:val="22"/>
        </w:rPr>
        <w:br/>
      </w:r>
      <w:r w:rsidRPr="00A84C43" w:rsidR="001F4BEC">
        <w:rPr>
          <w:sz w:val="22"/>
          <w:szCs w:val="22"/>
        </w:rPr>
        <w:t xml:space="preserve">Här följer en sammanfattning av de viktigaste undantagen: </w:t>
      </w:r>
    </w:p>
    <w:p w:rsidRPr="00A84C43" w:rsidR="001F4BEC" w:rsidP="001F4BEC" w:rsidRDefault="001F4BEC" w14:paraId="715ABC10" w14:textId="77777777">
      <w:pPr>
        <w:pStyle w:val="Default"/>
        <w:rPr>
          <w:sz w:val="22"/>
          <w:szCs w:val="22"/>
        </w:rPr>
      </w:pPr>
    </w:p>
    <w:p w:rsidRPr="00A84C43" w:rsidR="00A84C43" w:rsidP="00A84C43" w:rsidRDefault="001F4BEC" w14:paraId="741364AE" w14:textId="47FE0470">
      <w:pPr>
        <w:pStyle w:val="Default"/>
        <w:numPr>
          <w:ilvl w:val="0"/>
          <w:numId w:val="2"/>
        </w:numPr>
        <w:rPr>
          <w:sz w:val="22"/>
          <w:szCs w:val="22"/>
        </w:rPr>
      </w:pPr>
      <w:r w:rsidRPr="00A84C43">
        <w:rPr>
          <w:sz w:val="22"/>
          <w:szCs w:val="22"/>
        </w:rPr>
        <w:t xml:space="preserve">Hälso- och sjukvårdspersonal är skyldig att besvara en förfrågan från polisen om en identifierbar person (namn, personnummer och/eller annat tydligt kännetecken) befinner sig på sjukvårdinrättningen eller inte. Man är inte skyldig att uppge på vilken enhet eller avdelning personen finns såvida inte skyldighet enligt punkt 5 nedan finns. Även personal i televäxeln får svara på förfrågan från polis enligt ovan. </w:t>
      </w:r>
      <w:r w:rsidRPr="00A84C43" w:rsidR="00A84C43">
        <w:rPr>
          <w:sz w:val="22"/>
          <w:szCs w:val="22"/>
        </w:rPr>
        <w:t xml:space="preserve"/>
      </w:r>
    </w:p>
    <w:p w:rsidRPr="00A84C43" w:rsidR="00A84C43" w:rsidP="00A84C43" w:rsidRDefault="00A84C43" w14:paraId="270A6C83" w14:textId="77777777">
      <w:pPr>
        <w:pStyle w:val="Default"/>
        <w:ind w:left="644"/>
        <w:rPr>
          <w:sz w:val="22"/>
          <w:szCs w:val="22"/>
        </w:rPr>
      </w:pPr>
    </w:p>
    <w:p w:rsidR="006E6FFC" w:rsidP="00A84C43" w:rsidRDefault="00A84C43" w14:paraId="6C6422F6" w14:textId="77777777">
      <w:pPr>
        <w:pStyle w:val="Default"/>
        <w:ind w:left="644"/>
        <w:rPr>
          <w:sz w:val="22"/>
          <w:szCs w:val="22"/>
        </w:rPr>
      </w:pPr>
      <w:r w:rsidRPr="00A84C43">
        <w:rPr>
          <w:sz w:val="22"/>
          <w:szCs w:val="22"/>
        </w:rPr>
        <w:t>För att kunna besvara fråga från polis måste det säkerställas att det verkligen är polisen som ringer genom att motringa. Därför måste uppgifter om polisens namn och växeltelefonnummer uppges.</w:t>
      </w:r>
      <w:r w:rsidR="006E6FFC">
        <w:rPr>
          <w:sz w:val="22"/>
          <w:szCs w:val="22"/>
        </w:rPr>
        <w:t xml:space="preserve"> </w:t>
      </w:r>
    </w:p>
    <w:p w:rsidR="006E6FFC" w:rsidP="00A84C43" w:rsidRDefault="006E6FFC" w14:paraId="485972B3" w14:textId="77777777">
      <w:pPr>
        <w:pStyle w:val="Default"/>
        <w:ind w:left="644"/>
        <w:rPr>
          <w:sz w:val="22"/>
          <w:szCs w:val="22"/>
        </w:rPr>
      </w:pPr>
    </w:p>
    <w:p w:rsidRPr="00A84C43" w:rsidR="006E6FFC" w:rsidP="00A84C43" w:rsidRDefault="006E6FFC" w14:paraId="24076A22" w14:textId="213DE825">
      <w:pPr>
        <w:pStyle w:val="Default"/>
        <w:ind w:left="644"/>
        <w:rPr>
          <w:sz w:val="22"/>
          <w:szCs w:val="22"/>
        </w:rPr>
      </w:pPr>
      <w:r w:rsidRPr="006E6FFC">
        <w:rPr>
          <w:sz w:val="22"/>
          <w:szCs w:val="22"/>
        </w:rPr>
        <w:t xml:space="preserve">Skyldigheten att förse polis med denna typ av information framgår i </w:t>
      </w:r>
      <w:r>
        <w:rPr>
          <w:sz w:val="22"/>
          <w:szCs w:val="22"/>
        </w:rPr>
        <w:t xml:space="preserve"/>
      </w:r>
      <w:hyperlink w:history="1" r:id="rId12">
        <w:r w:rsidRPr="006E6FFC">
          <w:rPr>
            <w:rStyle w:val="Hyperlnk"/>
            <w:sz w:val="22"/>
            <w:szCs w:val="22"/>
          </w:rPr>
          <w:t>Patientsäkerhetslagen</w:t>
        </w:r>
      </w:hyperlink>
      <w:r>
        <w:rPr>
          <w:sz w:val="22"/>
          <w:szCs w:val="22"/>
        </w:rPr>
        <w:t xml:space="preserve"> (6 kap. 15 § st.1 p. 1).</w:t>
      </w:r>
      <w:r w:rsidRPr="006E6FFC">
        <w:rPr>
          <w:sz w:val="22"/>
          <w:szCs w:val="22"/>
        </w:rPr>
        <w:t/>
      </w:r>
      <w:r>
        <w:rPr>
          <w:sz w:val="22"/>
          <w:szCs w:val="22"/>
        </w:rPr>
        <w:t/>
      </w:r>
    </w:p>
    <w:p w:rsidRPr="00A84C43" w:rsidR="001F4BEC" w:rsidP="001F4BEC" w:rsidRDefault="001F4BEC" w14:paraId="7857A645" w14:textId="77777777">
      <w:pPr>
        <w:pStyle w:val="Default"/>
        <w:ind w:left="-76"/>
        <w:rPr>
          <w:sz w:val="22"/>
          <w:szCs w:val="22"/>
        </w:rPr>
      </w:pPr>
    </w:p>
    <w:p w:rsidRPr="00A84C43" w:rsidR="001F4BEC" w:rsidP="001F4BEC" w:rsidRDefault="001F4BEC" w14:paraId="55928C51" w14:textId="77777777">
      <w:pPr>
        <w:pStyle w:val="Default"/>
        <w:numPr>
          <w:ilvl w:val="0"/>
          <w:numId w:val="2"/>
        </w:numPr>
        <w:tabs>
          <w:tab w:val="num" w:pos="426"/>
        </w:tabs>
        <w:rPr>
          <w:sz w:val="22"/>
          <w:szCs w:val="22"/>
        </w:rPr>
      </w:pPr>
      <w:r w:rsidRPr="00A84C43">
        <w:rPr>
          <w:sz w:val="22"/>
          <w:szCs w:val="22"/>
        </w:rPr>
        <w:t xml:space="preserve">Sjukvården har principiellt </w:t>
      </w:r>
      <w:r w:rsidRPr="00A84C43">
        <w:rPr>
          <w:b/>
          <w:bCs/>
          <w:sz w:val="22"/>
          <w:szCs w:val="22"/>
        </w:rPr>
        <w:t xml:space="preserve">ingen skyldighet </w:t>
      </w:r>
      <w:r w:rsidRPr="00A84C43">
        <w:rPr>
          <w:sz w:val="22"/>
          <w:szCs w:val="22"/>
        </w:rPr>
        <w:t xml:space="preserve">att anmäla till polis att någon utsatts för eller begått brott eller att det finns misstanke om det. Observera dock att det föreligger skyldighet att till sociala myndigheter genast anmäla misstanke om förhållanden som innebär att underårig (det vill säga person under 18 år) far illa, inklusive misstanke om brott. </w:t>
      </w:r>
    </w:p>
    <w:p w:rsidRPr="00A84C43" w:rsidR="001F4BEC" w:rsidP="001F4BEC" w:rsidRDefault="001F4BEC" w14:paraId="721DE4F3" w14:textId="77777777">
      <w:pPr>
        <w:pStyle w:val="Default"/>
        <w:ind w:left="-76"/>
        <w:rPr>
          <w:sz w:val="22"/>
          <w:szCs w:val="22"/>
        </w:rPr>
      </w:pPr>
    </w:p>
    <w:p w:rsidRPr="00A84C43" w:rsidR="001F4BEC" w:rsidP="001F4BEC" w:rsidRDefault="001F4BEC" w14:paraId="7FE54332" w14:textId="77777777">
      <w:pPr>
        <w:pStyle w:val="Default"/>
        <w:numPr>
          <w:ilvl w:val="0"/>
          <w:numId w:val="2"/>
        </w:numPr>
        <w:rPr>
          <w:sz w:val="22"/>
          <w:szCs w:val="22"/>
        </w:rPr>
      </w:pPr>
      <w:r w:rsidRPr="00A84C43">
        <w:rPr>
          <w:sz w:val="22"/>
          <w:szCs w:val="22"/>
        </w:rPr>
        <w:t xml:space="preserve">Hälso- och sjukvårdspersonal har </w:t>
      </w:r>
      <w:r w:rsidRPr="00A84C43">
        <w:rPr>
          <w:b/>
          <w:bCs/>
          <w:sz w:val="22"/>
          <w:szCs w:val="22"/>
        </w:rPr>
        <w:t xml:space="preserve">rätt att polisanmäla </w:t>
      </w:r>
      <w:r w:rsidRPr="00A84C43">
        <w:rPr>
          <w:sz w:val="22"/>
          <w:szCs w:val="22"/>
        </w:rPr>
        <w:t xml:space="preserve">brott, eller till polisen </w:t>
      </w:r>
      <w:r w:rsidRPr="00A84C43">
        <w:rPr>
          <w:b/>
          <w:bCs/>
          <w:sz w:val="22"/>
          <w:szCs w:val="22"/>
        </w:rPr>
        <w:t xml:space="preserve">lämna uppgifter </w:t>
      </w:r>
      <w:r w:rsidRPr="00A84C43">
        <w:rPr>
          <w:sz w:val="22"/>
          <w:szCs w:val="22"/>
        </w:rPr>
        <w:t xml:space="preserve">som gäller misstanke om brott, för vilket inte är föreskrivet lindrigare straff än fängelse i ett år. Exempel på sådana brott är mord, dråp, grov misshandel och våldtäkt. </w:t>
      </w:r>
    </w:p>
    <w:p w:rsidRPr="00A84C43" w:rsidR="001F4BEC" w:rsidP="001F4BEC" w:rsidRDefault="001F4BEC" w14:paraId="194FDE5C" w14:textId="77777777">
      <w:pPr>
        <w:pStyle w:val="Default"/>
        <w:ind w:left="-76"/>
        <w:rPr>
          <w:sz w:val="22"/>
          <w:szCs w:val="22"/>
        </w:rPr>
      </w:pPr>
    </w:p>
    <w:p w:rsidR="00096A50" w:rsidP="00096A50" w:rsidRDefault="001F4BEC" w14:paraId="45B42C19" w14:textId="1E4E3007">
      <w:pPr>
        <w:pStyle w:val="Default"/>
        <w:numPr>
          <w:ilvl w:val="0"/>
          <w:numId w:val="2"/>
        </w:numPr>
        <w:rPr>
          <w:sz w:val="22"/>
          <w:szCs w:val="22"/>
        </w:rPr>
      </w:pPr>
      <w:r w:rsidRPr="00A84C43">
        <w:rPr>
          <w:sz w:val="22"/>
          <w:szCs w:val="22"/>
        </w:rPr>
        <w:t xml:space="preserve">När det däremot gäller misstanke om brott enligt 3, 4 och 6 kapitlet i brottsbalken mot </w:t>
      </w:r>
      <w:r w:rsidRPr="00A84C43">
        <w:rPr>
          <w:b/>
          <w:bCs/>
          <w:sz w:val="22"/>
          <w:szCs w:val="22"/>
        </w:rPr>
        <w:t xml:space="preserve">underårig får uppgifter lämnas </w:t>
      </w:r>
      <w:r w:rsidRPr="00A84C43">
        <w:rPr>
          <w:sz w:val="22"/>
          <w:szCs w:val="22"/>
        </w:rPr>
        <w:t>till polis oavsett brottets straffsats. Exempel på brott enligt 3, 4 och 6 kapitlet i brottsbalken är mord, dråp, kvinnofridskränkning, olaga hot, misshandel och olika typer av sexualbrott.</w:t>
      </w:r>
    </w:p>
    <w:p w:rsidRPr="00096A50" w:rsidR="00096A50" w:rsidP="00096A50" w:rsidRDefault="00096A50" w14:paraId="5BC5E8EB" w14:textId="77777777">
      <w:pPr>
        <w:pStyle w:val="Default"/>
        <w:rPr>
          <w:sz w:val="22"/>
          <w:szCs w:val="22"/>
        </w:rPr>
      </w:pPr>
    </w:p>
    <w:p w:rsidRPr="00A84C43" w:rsidR="00096A50" w:rsidP="001F4BEC" w:rsidRDefault="00096A50" w14:paraId="4BA9A1E2" w14:textId="3EBA454A">
      <w:pPr>
        <w:pStyle w:val="Default"/>
        <w:numPr>
          <w:ilvl w:val="0"/>
          <w:numId w:val="2"/>
        </w:numPr>
        <w:rPr>
          <w:sz w:val="22"/>
          <w:szCs w:val="22"/>
        </w:rPr>
      </w:pPr>
      <w:r>
        <w:rPr>
          <w:sz w:val="22"/>
          <w:szCs w:val="22"/>
        </w:rPr>
        <w:t>Hälso- och sjukvårdssekretessen i OSL</w:t>
      </w:r>
      <w:r w:rsidRPr="00096A50">
        <w:rPr>
          <w:sz w:val="22"/>
          <w:szCs w:val="22"/>
        </w:rPr>
        <w:t/>
      </w:r>
      <w:r>
        <w:rPr>
          <w:sz w:val="22"/>
          <w:szCs w:val="22"/>
        </w:rPr>
        <w:t xml:space="preserve"> </w:t>
      </w:r>
      <w:r w:rsidRPr="00096A50">
        <w:rPr>
          <w:b/>
          <w:bCs/>
          <w:sz w:val="22"/>
          <w:szCs w:val="22"/>
        </w:rPr>
        <w:t xml:space="preserve">hindrar inte </w:t>
      </w:r>
      <w:r w:rsidRPr="00330AD7">
        <w:rPr>
          <w:b/>
          <w:bCs/>
          <w:sz w:val="22"/>
          <w:szCs w:val="22"/>
        </w:rPr>
        <w:t xml:space="preserve"/>
      </w:r>
      <w:r w:rsidRPr="00330AD7">
        <w:rPr>
          <w:sz w:val="22"/>
          <w:szCs w:val="22"/>
        </w:rPr>
        <w:t>att en uppgift som rör en enskild eller en närstående till den enskilde lämnas till Polismyndigheten, om</w:t>
      </w:r>
      <w:r w:rsidRPr="00096A50">
        <w:rPr>
          <w:sz w:val="22"/>
          <w:szCs w:val="22"/>
        </w:rPr>
        <w:t/>
      </w:r>
      <w:r>
        <w:rPr>
          <w:sz w:val="22"/>
          <w:szCs w:val="22"/>
        </w:rPr>
        <w:t xml:space="preserve"> </w:t>
      </w:r>
      <w:r w:rsidRPr="00096A50">
        <w:rPr>
          <w:sz w:val="22"/>
          <w:szCs w:val="22"/>
        </w:rPr>
        <w:t>det på grund av särskilda omständigheter finns risk för att den enskilde mot den närstående kommer att begå ett sådant brott som avses i 3, 4 eller 6 kap. brottsbalken, för vilket det inte är föreskrivet lindrigare straff än fängelse i ett år.</w:t>
      </w:r>
      <w:r>
        <w:rPr>
          <w:sz w:val="22"/>
          <w:szCs w:val="22"/>
        </w:rPr>
        <w:t/>
      </w:r>
      <w:r w:rsidRPr="00096A50">
        <w:rPr>
          <w:sz w:val="22"/>
          <w:szCs w:val="22"/>
        </w:rPr>
        <w:t xml:space="preserve"/>
      </w:r>
      <w:r>
        <w:rPr>
          <w:sz w:val="22"/>
          <w:szCs w:val="22"/>
        </w:rPr>
        <w:t/>
      </w:r>
      <w:r w:rsidR="00330AD7">
        <w:rPr>
          <w:sz w:val="22"/>
          <w:szCs w:val="22"/>
        </w:rPr>
        <w:br/>
      </w:r>
      <w:r>
        <w:rPr>
          <w:sz w:val="22"/>
          <w:szCs w:val="22"/>
        </w:rPr>
        <w:t xml:space="preserve">Samtidigt ska det, </w:t>
      </w:r>
      <w:r w:rsidRPr="00096A50">
        <w:rPr>
          <w:sz w:val="22"/>
          <w:szCs w:val="22"/>
        </w:rPr>
        <w:t xml:space="preserve">med hänsyn till planerade eller pågående insatser för den enskilde eller för den närstående, eller av andra särskilda skäl, </w:t>
      </w:r>
      <w:r w:rsidRPr="00330AD7">
        <w:rPr>
          <w:b/>
          <w:bCs/>
          <w:sz w:val="22"/>
          <w:szCs w:val="22"/>
        </w:rPr>
        <w:t xml:space="preserve">inte vara olämpligt</w:t>
      </w:r>
      <w:r w:rsidRPr="00330AD7">
        <w:rPr>
          <w:b/>
          <w:bCs/>
          <w:sz w:val="22"/>
          <w:szCs w:val="22"/>
        </w:rPr>
        <w:t/>
      </w:r>
      <w:r w:rsidRPr="00330AD7">
        <w:rPr>
          <w:b/>
          <w:bCs/>
          <w:sz w:val="22"/>
          <w:szCs w:val="22"/>
        </w:rPr>
        <w:t xml:space="preserve"/>
      </w:r>
      <w:r w:rsidRPr="00096A50">
        <w:rPr>
          <w:sz w:val="22"/>
          <w:szCs w:val="22"/>
        </w:rPr>
        <w:t xml:space="preserve"> att uppgiften lämnas ut.</w:t>
      </w:r>
      <w:r w:rsidR="00330AD7">
        <w:rPr>
          <w:sz w:val="22"/>
          <w:szCs w:val="22"/>
        </w:rPr>
        <w:br/>
      </w:r>
      <w:r w:rsidRPr="00330AD7" w:rsidR="00330AD7">
        <w:rPr>
          <w:sz w:val="22"/>
          <w:szCs w:val="22"/>
        </w:rPr>
        <w:t xml:space="preserve">En uppgift som angår misstanke om ett begånget brott får dock </w:t>
      </w:r>
      <w:r w:rsidRPr="00330AD7" w:rsidR="00330AD7">
        <w:rPr>
          <w:b/>
          <w:bCs/>
          <w:sz w:val="22"/>
          <w:szCs w:val="22"/>
        </w:rPr>
        <w:t>lämnas endast</w:t>
      </w:r>
      <w:r w:rsidRPr="00330AD7" w:rsidR="00330AD7">
        <w:rPr>
          <w:sz w:val="22"/>
          <w:szCs w:val="22"/>
        </w:rPr>
        <w:t xml:space="preserve"> under de förutsättningar som i övrigt anges i denna lag.</w:t>
      </w:r>
    </w:p>
    <w:p w:rsidRPr="00A84C43" w:rsidR="001F4BEC" w:rsidP="001F4BEC" w:rsidRDefault="001F4BEC" w14:paraId="5E2FFC6D" w14:textId="77777777">
      <w:pPr>
        <w:pStyle w:val="Default"/>
        <w:ind w:left="-76"/>
        <w:rPr>
          <w:sz w:val="22"/>
          <w:szCs w:val="22"/>
        </w:rPr>
      </w:pPr>
    </w:p>
    <w:p w:rsidRPr="00A84C43" w:rsidR="001F4BEC" w:rsidP="001F4BEC" w:rsidRDefault="001F4BEC" w14:paraId="71F3D8A8" w14:textId="630FEEC0">
      <w:pPr>
        <w:pStyle w:val="Default"/>
        <w:numPr>
          <w:ilvl w:val="0"/>
          <w:numId w:val="2"/>
        </w:numPr>
        <w:rPr>
          <w:sz w:val="22"/>
          <w:szCs w:val="22"/>
        </w:rPr>
      </w:pPr>
      <w:r w:rsidRPr="00A84C43">
        <w:rPr>
          <w:sz w:val="22"/>
          <w:szCs w:val="22"/>
        </w:rPr>
        <w:t xml:space="preserve">Sjukvården har </w:t>
      </w:r>
      <w:r w:rsidRPr="00A84C43">
        <w:rPr>
          <w:b/>
          <w:bCs/>
          <w:sz w:val="22"/>
          <w:szCs w:val="22"/>
        </w:rPr>
        <w:t xml:space="preserve">skyldighet att på begäran </w:t>
      </w:r>
      <w:r w:rsidRPr="00A84C43">
        <w:rPr>
          <w:sz w:val="22"/>
          <w:szCs w:val="22"/>
        </w:rPr>
        <w:t xml:space="preserve">från polis lämna såväl muntlig som skriftlig information (journalkopia) som gäller brott enligt punkt 3 och 4 ovan. En anteckning ska göras i journalen att den lämnats ut, när och till vilken polisstation. Patienten behöver inte underrättas därom.</w:t>
      </w:r>
      <w:r w:rsidR="00300C14">
        <w:rPr>
          <w:sz w:val="22"/>
          <w:szCs w:val="22"/>
        </w:rPr>
        <w:t xml:space="preserve"/>
      </w:r>
      <w:r w:rsidR="00300C14">
        <w:rPr>
          <w:sz w:val="22"/>
          <w:szCs w:val="22"/>
        </w:rPr>
        <w:lastRenderedPageBreak/>
        <w:t/>
      </w:r>
    </w:p>
    <w:p w:rsidRPr="00A84C43" w:rsidR="001F4BEC" w:rsidP="001F4BEC" w:rsidRDefault="001F4BEC" w14:paraId="32CB96EC" w14:textId="77777777">
      <w:pPr>
        <w:pStyle w:val="Default"/>
        <w:rPr>
          <w:sz w:val="22"/>
          <w:szCs w:val="22"/>
        </w:rPr>
      </w:pPr>
    </w:p>
    <w:p w:rsidRPr="00A84C43" w:rsidR="001F4BEC" w:rsidP="001F4BEC" w:rsidRDefault="001F4BEC" w14:paraId="4769B92B" w14:textId="77777777">
      <w:pPr>
        <w:pStyle w:val="Default"/>
        <w:rPr>
          <w:sz w:val="22"/>
          <w:szCs w:val="22"/>
        </w:rPr>
      </w:pPr>
      <w:r w:rsidRPr="00A84C43">
        <w:rPr>
          <w:sz w:val="22"/>
          <w:szCs w:val="22"/>
        </w:rPr>
        <w:t xml:space="preserve">Sjukvårdens rättighet respektive skyldighet att lämna uppgifter till polis enligt punkt 5 ovan gäller även gentemot åklagarmyndighet och annan myndighet som har att ingripa mot brottet. </w:t>
      </w:r>
    </w:p>
    <w:p w:rsidRPr="00A84C43" w:rsidR="001F4BEC" w:rsidP="001F4BEC" w:rsidRDefault="001F4BEC" w14:paraId="3DF193DE" w14:textId="77777777">
      <w:pPr>
        <w:pStyle w:val="Default"/>
        <w:rPr>
          <w:b/>
          <w:bCs/>
          <w:sz w:val="22"/>
          <w:szCs w:val="22"/>
        </w:rPr>
      </w:pPr>
    </w:p>
    <w:p w:rsidRPr="00A84C43" w:rsidR="001F4BEC" w:rsidP="00A84C43" w:rsidRDefault="001F4BEC" w14:paraId="77C27F0A" w14:textId="1339751A">
      <w:pPr>
        <w:pStyle w:val="Rubrik1"/>
        <w:rPr>
          <w:sz w:val="26"/>
          <w:szCs w:val="26"/>
        </w:rPr>
      </w:pPr>
      <w:r w:rsidRPr="00A84C43">
        <w:rPr>
          <w:sz w:val="26"/>
          <w:szCs w:val="26"/>
        </w:rPr>
        <w:t>Patienten själv kan bryta sekretessen</w:t>
      </w:r>
    </w:p>
    <w:p w:rsidR="001F4BEC" w:rsidP="001F4BEC" w:rsidRDefault="001F4BEC" w14:paraId="7B90A933" w14:textId="508228EA">
      <w:pPr>
        <w:pStyle w:val="Default"/>
        <w:rPr>
          <w:sz w:val="22"/>
          <w:szCs w:val="22"/>
        </w:rPr>
      </w:pPr>
      <w:r w:rsidRPr="00A84C43">
        <w:rPr>
          <w:sz w:val="22"/>
          <w:szCs w:val="22"/>
        </w:rPr>
        <w:t>Patienten har alltid möjlighet att bryta sekretessen i de fall lagen inte tillåter att hälso- och sjukvårdpersonalen lämnar ut uppgifter till polisen enligt ovan. Patienten ska godkänna polisens begäran skriftligt, och intyget ska förvaras i patientens journal. På begäran och godkännandet ska finnas uppgift om vilket vårdtillfälle som avses.</w:t>
      </w:r>
    </w:p>
    <w:p w:rsidRPr="00A84C43" w:rsidR="00A84C43" w:rsidP="001F4BEC" w:rsidRDefault="00A84C43" w14:paraId="0EDB8581" w14:textId="77777777">
      <w:pPr>
        <w:pStyle w:val="Default"/>
        <w:rPr>
          <w:sz w:val="22"/>
          <w:szCs w:val="22"/>
        </w:rPr>
      </w:pPr>
    </w:p>
    <w:p w:rsidRPr="00A84C43" w:rsidR="001F4BEC" w:rsidP="00A84C43" w:rsidRDefault="001F4BEC" w14:paraId="77B8126B" w14:textId="77777777">
      <w:pPr>
        <w:pStyle w:val="Rubrik1"/>
        <w:rPr>
          <w:sz w:val="26"/>
          <w:szCs w:val="26"/>
        </w:rPr>
      </w:pPr>
      <w:r w:rsidRPr="00A84C43">
        <w:rPr>
          <w:sz w:val="26"/>
          <w:szCs w:val="26"/>
        </w:rPr>
        <w:t>Rättsintyg</w:t>
      </w:r>
    </w:p>
    <w:p w:rsidRPr="00A84C43" w:rsidR="001F4BEC" w:rsidP="001F4BEC" w:rsidRDefault="001F4BEC" w14:paraId="6BA78DAD" w14:textId="2C688907">
      <w:pPr>
        <w:pStyle w:val="Default"/>
        <w:rPr>
          <w:sz w:val="22"/>
          <w:szCs w:val="22"/>
        </w:rPr>
      </w:pPr>
      <w:r w:rsidRPr="00A84C43">
        <w:rPr>
          <w:sz w:val="22"/>
          <w:szCs w:val="22"/>
        </w:rPr>
        <w:t>Enligt lagen (2005:225) om rättsintyg i anledning av brott ska rättsintyg inhämtas från läkare vid rättsmedicinsk avdelning inom Rättsmedicinalverket eller läkare som enligt avtal med verket åtagit sig att utfärda sådana intyg i fall som kan antas föranleda annan påföljd än böter. Polisen har dock rätt att i särskilda fall begära rättsintyg från annan läkare med tillräcklig kompetens.</w:t>
      </w:r>
    </w:p>
    <w:p w:rsidRPr="00A84C43" w:rsidR="001F4BEC" w:rsidP="001F4BEC" w:rsidRDefault="001F4BEC" w14:paraId="15F31AF7" w14:textId="77777777">
      <w:pPr>
        <w:pStyle w:val="Default"/>
        <w:rPr>
          <w:b/>
          <w:bCs/>
          <w:sz w:val="22"/>
          <w:szCs w:val="22"/>
        </w:rPr>
      </w:pPr>
    </w:p>
    <w:p w:rsidRPr="00A84C43" w:rsidR="001F4BEC" w:rsidP="00A84C43" w:rsidRDefault="001F4BEC" w14:paraId="2A5E259C" w14:textId="77777777">
      <w:pPr>
        <w:pStyle w:val="Rubrik1"/>
        <w:rPr>
          <w:sz w:val="26"/>
          <w:szCs w:val="26"/>
        </w:rPr>
      </w:pPr>
      <w:r w:rsidRPr="00A84C43">
        <w:rPr>
          <w:sz w:val="26"/>
          <w:szCs w:val="26"/>
        </w:rPr>
        <w:t xml:space="preserve">Tidsaspekt </w:t>
      </w:r>
    </w:p>
    <w:p w:rsidR="006E6FFC" w:rsidP="001F4BEC" w:rsidRDefault="001F4BEC" w14:paraId="4DF8951F" w14:textId="6A75335F">
      <w:pPr>
        <w:pStyle w:val="Default"/>
        <w:rPr>
          <w:sz w:val="22"/>
          <w:szCs w:val="22"/>
        </w:rPr>
      </w:pPr>
      <w:r w:rsidRPr="00A84C43">
        <w:rPr>
          <w:sz w:val="22"/>
          <w:szCs w:val="22"/>
        </w:rPr>
        <w:t xml:space="preserve">Polisens begäran att få tillgång till patientuppgifter ska verkställas omgående. </w:t>
      </w:r>
      <w:r w:rsidR="006E6FFC">
        <w:rPr>
          <w:sz w:val="22"/>
          <w:szCs w:val="22"/>
        </w:rPr>
        <w:t/>
      </w:r>
      <w:r w:rsidRPr="00A84C43">
        <w:rPr>
          <w:sz w:val="22"/>
          <w:szCs w:val="22"/>
        </w:rPr>
        <w:t xml:space="preserve"/>
      </w:r>
    </w:p>
    <w:p w:rsidRPr="00A84C43" w:rsidR="001F4BEC" w:rsidP="001F4BEC" w:rsidRDefault="001F4BEC" w14:paraId="38862DBC" w14:textId="77777777">
      <w:pPr>
        <w:pStyle w:val="Default"/>
        <w:rPr>
          <w:b/>
          <w:bCs/>
          <w:sz w:val="22"/>
          <w:szCs w:val="22"/>
        </w:rPr>
      </w:pPr>
    </w:p>
    <w:p w:rsidRPr="00A84C43" w:rsidR="001F4BEC" w:rsidP="00A84C43" w:rsidRDefault="001F4BEC" w14:paraId="0E9567FB" w14:textId="77777777">
      <w:pPr>
        <w:pStyle w:val="Rubrik1"/>
        <w:rPr>
          <w:sz w:val="26"/>
          <w:szCs w:val="26"/>
        </w:rPr>
      </w:pPr>
      <w:r w:rsidRPr="00A84C43">
        <w:rPr>
          <w:sz w:val="26"/>
          <w:szCs w:val="26"/>
        </w:rPr>
        <w:t>Försändelse med journalkopia/rättsintyg</w:t>
      </w:r>
    </w:p>
    <w:p w:rsidRPr="00A84C43" w:rsidR="001F4BEC" w:rsidP="001F4BEC" w:rsidRDefault="001F4BEC" w14:paraId="14C2C421" w14:textId="3EF25DE4">
      <w:pPr>
        <w:pStyle w:val="Default"/>
        <w:rPr>
          <w:sz w:val="22"/>
          <w:szCs w:val="22"/>
        </w:rPr>
      </w:pPr>
      <w:r w:rsidRPr="00A84C43">
        <w:rPr>
          <w:sz w:val="22"/>
          <w:szCs w:val="22"/>
        </w:rPr>
        <w:t>Journalkopior och rättsintyg skickas till polisen i rekommenderad försändelse.</w:t>
      </w:r>
    </w:p>
    <w:p w:rsidRPr="00A84C43" w:rsidR="001F4BEC" w:rsidP="001F4BEC" w:rsidRDefault="001F4BEC" w14:paraId="0EEAE575" w14:textId="77777777">
      <w:pPr>
        <w:pStyle w:val="Default"/>
        <w:rPr>
          <w:sz w:val="22"/>
          <w:szCs w:val="22"/>
        </w:rPr>
      </w:pPr>
    </w:p>
    <w:p w:rsidRPr="00A84C43" w:rsidR="001F4BEC" w:rsidP="00A84C43" w:rsidRDefault="001F4BEC" w14:paraId="64716735" w14:textId="77777777">
      <w:pPr>
        <w:pStyle w:val="Rubrik1"/>
        <w:rPr>
          <w:sz w:val="26"/>
          <w:szCs w:val="26"/>
        </w:rPr>
      </w:pPr>
      <w:r w:rsidRPr="00A84C43">
        <w:rPr>
          <w:sz w:val="26"/>
          <w:szCs w:val="26"/>
        </w:rPr>
        <w:t>Journalkopia/rättsintyg hämtas av polisman</w:t>
      </w:r>
    </w:p>
    <w:p w:rsidRPr="00A84C43" w:rsidR="001F4BEC" w:rsidP="001F4BEC" w:rsidRDefault="001F4BEC" w14:paraId="6D9154D0" w14:textId="77777777">
      <w:pPr>
        <w:pStyle w:val="Default"/>
        <w:rPr>
          <w:sz w:val="22"/>
          <w:szCs w:val="22"/>
        </w:rPr>
      </w:pPr>
      <w:r w:rsidRPr="00A84C43">
        <w:rPr>
          <w:sz w:val="22"/>
          <w:szCs w:val="22"/>
        </w:rPr>
        <w:t>Journalkopia och rättsintyg kan också hämtas av polisman. Om journalkopia/rättsintyg hämtas på vårdinrättningen ska polisens (mottagarens) identitet och tjänsteställning kontrolleras och dokumenteras.</w:t>
      </w:r>
    </w:p>
    <w:p w:rsidRPr="00A84C43" w:rsidR="001F4BEC" w:rsidP="001F4BEC" w:rsidRDefault="001F4BEC" w14:paraId="7B6F935D" w14:textId="77777777">
      <w:pPr>
        <w:pStyle w:val="Default"/>
        <w:rPr>
          <w:b/>
          <w:bCs/>
          <w:sz w:val="22"/>
          <w:szCs w:val="22"/>
        </w:rPr>
      </w:pPr>
    </w:p>
    <w:p w:rsidR="006E7AEB" w:rsidP="006E7AEB" w:rsidRDefault="006E7AEB" w14:paraId="2D40ED74" w14:textId="77777777">
      <w:pPr>
        <w:pStyle w:val="Liststycke"/>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006E7AEB" w:rsidTr="006E7AEB" w14:paraId="7F287FBF"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6E7AEB" w:rsidRDefault="006E7AEB" w14:paraId="2EE251C2" w14:textId="07B3E789">
            <w:pPr>
              <w:rPr>
                <w:rFonts w:cs="Arial"/>
                <w:b/>
                <w:sz w:val="26"/>
                <w:szCs w:val="26"/>
              </w:rPr>
            </w:pPr>
            <w:bookmarkStart w:name="_Toc338760458" w:id="0"/>
            <w:bookmarkStart w:name="_Toc338760522" w:id="1"/>
            <w:bookmarkStart w:name="_Toc338760588" w:id="2"/>
            <w:bookmarkStart w:name="_Toc338760604" w:id="3"/>
            <w:r>
              <w:rPr>
                <w:b/>
              </w:rPr>
              <w:t>Uppdaterat från föregående version</w:t>
            </w:r>
            <w:bookmarkEnd w:id="0"/>
            <w:bookmarkEnd w:id="1"/>
            <w:bookmarkEnd w:id="2"/>
            <w:bookmarkEnd w:id="3"/>
          </w:p>
          <w:p w:rsidR="00330AD7" w:rsidP="00330AD7" w:rsidRDefault="00330AD7" w14:paraId="51F778D2" w14:textId="7F9D962B">
            <w:r>
              <w:rPr>
                <w:sz w:val="22"/>
                <w:szCs w:val="22"/>
              </w:rPr>
              <w:t>Rutinen uppdaterad med p 5. som gäller möjligheten till utlämnande vid vissa brott och förutsättningar, utan hinder av hälso- och sjukvårdssekretess.</w:t>
            </w:r>
          </w:p>
          <w:p w:rsidR="006E7AEB" w:rsidP="004C15AA" w:rsidRDefault="006E7AEB" w14:paraId="540C83C8" w14:textId="33529C31"/>
        </w:tc>
      </w:tr>
    </w:tbl>
    <w:p w:rsidRPr="006E7AEB" w:rsidR="00217411" w:rsidP="006E7AEB" w:rsidRDefault="00217411" w14:paraId="4FB9B866" w14:textId="77777777"/>
    <w:sectPr w:rsidRPr="006E7AEB" w:rsidR="00217411" w:rsidSect="000347EB">
      <w:pgSz w:w="11906" w:h="16838"/>
      <w:pgMar w:top="1417" w:right="1417" w:bottom="1417" w:left="1417" w:header="567" w:footer="1134" w:gutter="0"/>
      <w:cols w:space="708"/>
      <w:docGrid w:linePitch="360"/>
      <w:headerReference w:type="even" r:id="R8aca244124084157"/>
      <w:headerReference w:type="default" r:id="R6ba6ba0bf6bb4ef2"/>
      <w:headerReference w:type="first" r:id="Rb64ff093a8e84fb2"/>
      <w:footerReference w:type="even" r:id="R9aad74d23c854dca"/>
      <w:footerReference w:type="default" r:id="Rffabbe934c7e4c60"/>
      <w:footerReference w:type="first" r:id="R96cacc9b711449f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4AE4" w14:textId="77777777" w:rsidR="001F4BEC" w:rsidRDefault="001F4BEC" w:rsidP="007C5174">
      <w:pPr>
        <w:spacing w:line="240" w:lineRule="auto"/>
      </w:pPr>
      <w:r>
        <w:separator/>
      </w:r>
    </w:p>
  </w:endnote>
  <w:endnote w:type="continuationSeparator" w:id="0">
    <w:p w14:paraId="4C7A9F68" w14:textId="77777777" w:rsidR="001F4BEC" w:rsidRDefault="001F4BEC" w:rsidP="007C5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054F" w:rsidP="008D3B55" w:rsidRDefault="0068054F" w14:paraId="7B17DE07" w14:textId="77777777">
    <w:pPr>
      <w:pStyle w:val="Sidfot"/>
      <w:tabs>
        <w:tab w:val="clea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Rutin: Sekretess polisen vid utlämnande av uppgift</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Regional Säkerhetsansvarig, Publicerad: 2022-09-12</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Pettersson Hans</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Rutin: Sekretess polisen vid utlämnande av uppgift</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Regional Säkerhetsansvarig, Publicerad: 2022-09-12</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Pettersson Hans</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FE31" w14:textId="77777777" w:rsidR="001F4BEC" w:rsidRDefault="001F4BEC" w:rsidP="007C5174">
      <w:pPr>
        <w:spacing w:line="240" w:lineRule="auto"/>
      </w:pPr>
      <w:r>
        <w:separator/>
      </w:r>
    </w:p>
  </w:footnote>
  <w:footnote w:type="continuationSeparator" w:id="0">
    <w:p w14:paraId="2904CEDE" w14:textId="77777777" w:rsidR="001F4BEC" w:rsidRDefault="001F4BEC" w:rsidP="007C5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742" w:rsidP="0068054F" w:rsidRDefault="00E07742" w14:paraId="5FB1458C" w14:textId="77777777">
    <w:pPr>
      <w:pStyle w:val="Sidhuvud"/>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A0698"/>
    <w:multiLevelType w:val="hybridMultilevel"/>
    <w:tmpl w:val="6F3EFB9A"/>
    <w:lvl w:ilvl="0" w:tplc="041D000F">
      <w:start w:val="1"/>
      <w:numFmt w:val="decimal"/>
      <w:lvlText w:val="%1."/>
      <w:lvlJc w:val="left"/>
      <w:pPr>
        <w:ind w:left="644" w:hanging="360"/>
      </w:p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 w15:restartNumberingAfterBreak="0">
    <w:nsid w:val="27841CCD"/>
    <w:multiLevelType w:val="hybridMultilevel"/>
    <w:tmpl w:val="5F78E0C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9742386">
    <w:abstractNumId w:val="1"/>
  </w:num>
  <w:num w:numId="2" w16cid:durableId="102413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0B4"/>
    <w:rsid w:val="00007E16"/>
    <w:rsid w:val="00011A41"/>
    <w:rsid w:val="0001303B"/>
    <w:rsid w:val="000152F2"/>
    <w:rsid w:val="0003052A"/>
    <w:rsid w:val="00033803"/>
    <w:rsid w:val="000347EB"/>
    <w:rsid w:val="00042AAF"/>
    <w:rsid w:val="00067CE4"/>
    <w:rsid w:val="0007071F"/>
    <w:rsid w:val="00083AC2"/>
    <w:rsid w:val="0009005C"/>
    <w:rsid w:val="000913EF"/>
    <w:rsid w:val="00093BC0"/>
    <w:rsid w:val="00096A50"/>
    <w:rsid w:val="000C5B27"/>
    <w:rsid w:val="000C5CCA"/>
    <w:rsid w:val="000C6EFC"/>
    <w:rsid w:val="000D7890"/>
    <w:rsid w:val="000E1E29"/>
    <w:rsid w:val="000E60D7"/>
    <w:rsid w:val="000E699B"/>
    <w:rsid w:val="00103907"/>
    <w:rsid w:val="00117F3E"/>
    <w:rsid w:val="001215D2"/>
    <w:rsid w:val="001216E8"/>
    <w:rsid w:val="00132BBA"/>
    <w:rsid w:val="00136C3A"/>
    <w:rsid w:val="00136C99"/>
    <w:rsid w:val="00144DC1"/>
    <w:rsid w:val="001547DC"/>
    <w:rsid w:val="001566D2"/>
    <w:rsid w:val="001839A8"/>
    <w:rsid w:val="001854D5"/>
    <w:rsid w:val="001A2FB0"/>
    <w:rsid w:val="001B7F84"/>
    <w:rsid w:val="001C0125"/>
    <w:rsid w:val="001C464E"/>
    <w:rsid w:val="001C5990"/>
    <w:rsid w:val="001D6DFC"/>
    <w:rsid w:val="001E0273"/>
    <w:rsid w:val="001F1174"/>
    <w:rsid w:val="001F4BEC"/>
    <w:rsid w:val="00202A52"/>
    <w:rsid w:val="00203DA6"/>
    <w:rsid w:val="00205476"/>
    <w:rsid w:val="00215A1C"/>
    <w:rsid w:val="00217411"/>
    <w:rsid w:val="00230DEF"/>
    <w:rsid w:val="00237F50"/>
    <w:rsid w:val="00264CD9"/>
    <w:rsid w:val="00274157"/>
    <w:rsid w:val="0027597E"/>
    <w:rsid w:val="00276A44"/>
    <w:rsid w:val="002820AD"/>
    <w:rsid w:val="00283CFF"/>
    <w:rsid w:val="002B4A8C"/>
    <w:rsid w:val="002C5A33"/>
    <w:rsid w:val="002D20A2"/>
    <w:rsid w:val="002D33E6"/>
    <w:rsid w:val="002D7BB0"/>
    <w:rsid w:val="002E2675"/>
    <w:rsid w:val="002F50B4"/>
    <w:rsid w:val="002F5ADB"/>
    <w:rsid w:val="00300C14"/>
    <w:rsid w:val="00303CBF"/>
    <w:rsid w:val="00310836"/>
    <w:rsid w:val="00320A4E"/>
    <w:rsid w:val="00321BBC"/>
    <w:rsid w:val="00324216"/>
    <w:rsid w:val="00330AD7"/>
    <w:rsid w:val="003351A1"/>
    <w:rsid w:val="0034018C"/>
    <w:rsid w:val="00340C4E"/>
    <w:rsid w:val="003714EF"/>
    <w:rsid w:val="00382F1D"/>
    <w:rsid w:val="00395BD5"/>
    <w:rsid w:val="003C2636"/>
    <w:rsid w:val="003D1342"/>
    <w:rsid w:val="003D72E0"/>
    <w:rsid w:val="003E4C33"/>
    <w:rsid w:val="003E7084"/>
    <w:rsid w:val="003F0B5E"/>
    <w:rsid w:val="003F32E2"/>
    <w:rsid w:val="004003B6"/>
    <w:rsid w:val="00405B68"/>
    <w:rsid w:val="00407792"/>
    <w:rsid w:val="00410782"/>
    <w:rsid w:val="0041440F"/>
    <w:rsid w:val="00426996"/>
    <w:rsid w:val="0043196A"/>
    <w:rsid w:val="00434D3D"/>
    <w:rsid w:val="00440129"/>
    <w:rsid w:val="00441F02"/>
    <w:rsid w:val="0046329A"/>
    <w:rsid w:val="00463EC1"/>
    <w:rsid w:val="00471193"/>
    <w:rsid w:val="00474A93"/>
    <w:rsid w:val="004802CF"/>
    <w:rsid w:val="00487D4D"/>
    <w:rsid w:val="00491BEF"/>
    <w:rsid w:val="004A0A00"/>
    <w:rsid w:val="004A4E8F"/>
    <w:rsid w:val="004A6E9A"/>
    <w:rsid w:val="004B3028"/>
    <w:rsid w:val="004B5B43"/>
    <w:rsid w:val="004C15AA"/>
    <w:rsid w:val="004C5D7D"/>
    <w:rsid w:val="004D395A"/>
    <w:rsid w:val="004D4C9A"/>
    <w:rsid w:val="004D5954"/>
    <w:rsid w:val="004E16C9"/>
    <w:rsid w:val="004F619B"/>
    <w:rsid w:val="005005F2"/>
    <w:rsid w:val="005019F4"/>
    <w:rsid w:val="005074CF"/>
    <w:rsid w:val="005334B0"/>
    <w:rsid w:val="005354DD"/>
    <w:rsid w:val="00535B6E"/>
    <w:rsid w:val="00536397"/>
    <w:rsid w:val="00555EF2"/>
    <w:rsid w:val="00582E68"/>
    <w:rsid w:val="00584CCB"/>
    <w:rsid w:val="005A7427"/>
    <w:rsid w:val="005B5BE1"/>
    <w:rsid w:val="005C13B9"/>
    <w:rsid w:val="005C7008"/>
    <w:rsid w:val="005E349B"/>
    <w:rsid w:val="005F6BA7"/>
    <w:rsid w:val="00601881"/>
    <w:rsid w:val="0061657A"/>
    <w:rsid w:val="00623B44"/>
    <w:rsid w:val="00626D1D"/>
    <w:rsid w:val="006329E6"/>
    <w:rsid w:val="006352F3"/>
    <w:rsid w:val="00643E2A"/>
    <w:rsid w:val="00646179"/>
    <w:rsid w:val="006674DF"/>
    <w:rsid w:val="00667760"/>
    <w:rsid w:val="00672773"/>
    <w:rsid w:val="00674927"/>
    <w:rsid w:val="00677C68"/>
    <w:rsid w:val="0068054F"/>
    <w:rsid w:val="006805DA"/>
    <w:rsid w:val="00684887"/>
    <w:rsid w:val="006A014B"/>
    <w:rsid w:val="006A0ED5"/>
    <w:rsid w:val="006C730F"/>
    <w:rsid w:val="006E0E6B"/>
    <w:rsid w:val="006E6FFC"/>
    <w:rsid w:val="006E7AEB"/>
    <w:rsid w:val="00714E07"/>
    <w:rsid w:val="00721BCD"/>
    <w:rsid w:val="007243A4"/>
    <w:rsid w:val="007274C6"/>
    <w:rsid w:val="00733353"/>
    <w:rsid w:val="00742BCE"/>
    <w:rsid w:val="0078397C"/>
    <w:rsid w:val="00784F30"/>
    <w:rsid w:val="007C2132"/>
    <w:rsid w:val="007C5174"/>
    <w:rsid w:val="007D0CB0"/>
    <w:rsid w:val="008073E0"/>
    <w:rsid w:val="008134E6"/>
    <w:rsid w:val="008209A9"/>
    <w:rsid w:val="00821480"/>
    <w:rsid w:val="00830E55"/>
    <w:rsid w:val="008350E6"/>
    <w:rsid w:val="00846C63"/>
    <w:rsid w:val="00863AE7"/>
    <w:rsid w:val="008678B7"/>
    <w:rsid w:val="00873903"/>
    <w:rsid w:val="008970ED"/>
    <w:rsid w:val="008A0826"/>
    <w:rsid w:val="008A273B"/>
    <w:rsid w:val="008B0CA1"/>
    <w:rsid w:val="008C0F48"/>
    <w:rsid w:val="008C4985"/>
    <w:rsid w:val="008C7F95"/>
    <w:rsid w:val="008D3B55"/>
    <w:rsid w:val="008E5F91"/>
    <w:rsid w:val="0091459D"/>
    <w:rsid w:val="00930D6B"/>
    <w:rsid w:val="0094534E"/>
    <w:rsid w:val="009552AA"/>
    <w:rsid w:val="0098452E"/>
    <w:rsid w:val="00984928"/>
    <w:rsid w:val="00994832"/>
    <w:rsid w:val="00997A5E"/>
    <w:rsid w:val="009A0600"/>
    <w:rsid w:val="009A3589"/>
    <w:rsid w:val="009A4CED"/>
    <w:rsid w:val="009B17A7"/>
    <w:rsid w:val="009C51D8"/>
    <w:rsid w:val="009D47DD"/>
    <w:rsid w:val="009E0378"/>
    <w:rsid w:val="009E4819"/>
    <w:rsid w:val="009F303D"/>
    <w:rsid w:val="00A0326F"/>
    <w:rsid w:val="00A118DF"/>
    <w:rsid w:val="00A173C7"/>
    <w:rsid w:val="00A33C14"/>
    <w:rsid w:val="00A4094F"/>
    <w:rsid w:val="00A43143"/>
    <w:rsid w:val="00A473A6"/>
    <w:rsid w:val="00A56AF1"/>
    <w:rsid w:val="00A77B52"/>
    <w:rsid w:val="00A84C43"/>
    <w:rsid w:val="00A96FBC"/>
    <w:rsid w:val="00AA0387"/>
    <w:rsid w:val="00AA251F"/>
    <w:rsid w:val="00AB2761"/>
    <w:rsid w:val="00AD47F2"/>
    <w:rsid w:val="00AD49DA"/>
    <w:rsid w:val="00AF2016"/>
    <w:rsid w:val="00B02A40"/>
    <w:rsid w:val="00B21F6C"/>
    <w:rsid w:val="00B242B0"/>
    <w:rsid w:val="00B36D6A"/>
    <w:rsid w:val="00B37465"/>
    <w:rsid w:val="00B46226"/>
    <w:rsid w:val="00B47A6A"/>
    <w:rsid w:val="00B5249C"/>
    <w:rsid w:val="00B602B2"/>
    <w:rsid w:val="00B65D9B"/>
    <w:rsid w:val="00B768D6"/>
    <w:rsid w:val="00B86639"/>
    <w:rsid w:val="00BA22E3"/>
    <w:rsid w:val="00BB6348"/>
    <w:rsid w:val="00BB764B"/>
    <w:rsid w:val="00BC076E"/>
    <w:rsid w:val="00BC5BB7"/>
    <w:rsid w:val="00BE1FF4"/>
    <w:rsid w:val="00BE35A7"/>
    <w:rsid w:val="00BE7230"/>
    <w:rsid w:val="00C0539B"/>
    <w:rsid w:val="00C10B77"/>
    <w:rsid w:val="00C14965"/>
    <w:rsid w:val="00C2395E"/>
    <w:rsid w:val="00C321F5"/>
    <w:rsid w:val="00C33E13"/>
    <w:rsid w:val="00C367F4"/>
    <w:rsid w:val="00C518FB"/>
    <w:rsid w:val="00C538A2"/>
    <w:rsid w:val="00C60C20"/>
    <w:rsid w:val="00C65B77"/>
    <w:rsid w:val="00C70513"/>
    <w:rsid w:val="00C84E92"/>
    <w:rsid w:val="00CA020D"/>
    <w:rsid w:val="00CA0E03"/>
    <w:rsid w:val="00CA6A74"/>
    <w:rsid w:val="00CA7EDC"/>
    <w:rsid w:val="00CC1550"/>
    <w:rsid w:val="00CE43C3"/>
    <w:rsid w:val="00D17D75"/>
    <w:rsid w:val="00D30CD9"/>
    <w:rsid w:val="00D353B3"/>
    <w:rsid w:val="00D408CB"/>
    <w:rsid w:val="00D4686E"/>
    <w:rsid w:val="00D90DA1"/>
    <w:rsid w:val="00D92B0E"/>
    <w:rsid w:val="00DB1912"/>
    <w:rsid w:val="00DD11D1"/>
    <w:rsid w:val="00DF0EC5"/>
    <w:rsid w:val="00DF4E3F"/>
    <w:rsid w:val="00E005EF"/>
    <w:rsid w:val="00E014C2"/>
    <w:rsid w:val="00E02FE2"/>
    <w:rsid w:val="00E07742"/>
    <w:rsid w:val="00E410C7"/>
    <w:rsid w:val="00E45A20"/>
    <w:rsid w:val="00E60525"/>
    <w:rsid w:val="00E65712"/>
    <w:rsid w:val="00E65973"/>
    <w:rsid w:val="00E87E96"/>
    <w:rsid w:val="00E90F86"/>
    <w:rsid w:val="00EA0542"/>
    <w:rsid w:val="00EB29C5"/>
    <w:rsid w:val="00EB7097"/>
    <w:rsid w:val="00EB7D7D"/>
    <w:rsid w:val="00EC06A9"/>
    <w:rsid w:val="00EC7325"/>
    <w:rsid w:val="00ED2C50"/>
    <w:rsid w:val="00ED5095"/>
    <w:rsid w:val="00EF514E"/>
    <w:rsid w:val="00F0036D"/>
    <w:rsid w:val="00F34EDF"/>
    <w:rsid w:val="00F42938"/>
    <w:rsid w:val="00F50867"/>
    <w:rsid w:val="00F554B0"/>
    <w:rsid w:val="00F61F39"/>
    <w:rsid w:val="00F80DDA"/>
    <w:rsid w:val="00F85FA8"/>
    <w:rsid w:val="00F877DF"/>
    <w:rsid w:val="00F94798"/>
    <w:rsid w:val="00F963D1"/>
    <w:rsid w:val="00FA12F1"/>
    <w:rsid w:val="00FA1405"/>
    <w:rsid w:val="00FB3B54"/>
    <w:rsid w:val="00FC39B1"/>
    <w:rsid w:val="00FD1385"/>
    <w:rsid w:val="00FE2E2D"/>
    <w:rsid w:val="00FF0100"/>
    <w:rsid w:val="00FF316F"/>
    <w:rsid w:val="00FF7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FB2CC"/>
  <w15:docId w15:val="{8433E33B-0AAB-464A-972E-FCF50EC1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50B4"/>
    <w:pPr>
      <w:spacing w:line="276" w:lineRule="auto"/>
    </w:pPr>
    <w:rPr>
      <w:rFonts w:ascii="Arial" w:hAnsi="Arial"/>
      <w:sz w:val="24"/>
      <w:szCs w:val="24"/>
    </w:rPr>
  </w:style>
  <w:style w:type="paragraph" w:styleId="Rubrik1">
    <w:name w:val="heading 1"/>
    <w:basedOn w:val="Normal"/>
    <w:next w:val="Normal"/>
    <w:link w:val="Rubrik1Char"/>
    <w:qFormat/>
    <w:rsid w:val="002F50B4"/>
    <w:pPr>
      <w:keepNext/>
      <w:outlineLvl w:val="0"/>
    </w:pPr>
    <w:rPr>
      <w:rFonts w:cs="Arial"/>
      <w:b/>
      <w:bCs/>
      <w:kern w:val="32"/>
      <w:sz w:val="36"/>
      <w:szCs w:val="32"/>
    </w:rPr>
  </w:style>
  <w:style w:type="paragraph" w:styleId="Rubrik2">
    <w:name w:val="heading 2"/>
    <w:basedOn w:val="Normal"/>
    <w:next w:val="Normal"/>
    <w:link w:val="Rubrik2Char"/>
    <w:qFormat/>
    <w:rsid w:val="002F50B4"/>
    <w:pPr>
      <w:keepNext/>
      <w:spacing w:before="120" w:after="60"/>
      <w:outlineLvl w:val="1"/>
    </w:pPr>
    <w:rPr>
      <w:rFonts w:cs="Arial"/>
      <w:b/>
      <w:bCs/>
      <w:iCs/>
      <w:sz w:val="28"/>
      <w:szCs w:val="28"/>
    </w:rPr>
  </w:style>
  <w:style w:type="paragraph" w:styleId="Rubrik3">
    <w:name w:val="heading 3"/>
    <w:basedOn w:val="Normal"/>
    <w:next w:val="Normal"/>
    <w:link w:val="Rubrik3Char"/>
    <w:qFormat/>
    <w:rsid w:val="002F50B4"/>
    <w:pPr>
      <w:keepNext/>
      <w:spacing w:before="120" w:after="60"/>
      <w:outlineLvl w:val="2"/>
    </w:pPr>
    <w:rPr>
      <w:rFonts w:cs="Arial"/>
      <w:b/>
      <w:bCs/>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rsid w:val="002F50B4"/>
    <w:rPr>
      <w:rFonts w:ascii="Arial" w:hAnsi="Arial" w:cs="Arial"/>
      <w:b/>
      <w:bCs/>
      <w:kern w:val="32"/>
      <w:sz w:val="36"/>
      <w:szCs w:val="32"/>
    </w:rPr>
  </w:style>
  <w:style w:type="character" w:styleId="Rubrik2Char" w:customStyle="1">
    <w:name w:val="Rubrik 2 Char"/>
    <w:basedOn w:val="Standardstycketeckensnitt"/>
    <w:link w:val="Rubrik2"/>
    <w:rsid w:val="002F50B4"/>
    <w:rPr>
      <w:rFonts w:ascii="Arial" w:hAnsi="Arial" w:cs="Arial"/>
      <w:b/>
      <w:bCs/>
      <w:iCs/>
      <w:sz w:val="28"/>
      <w:szCs w:val="28"/>
    </w:rPr>
  </w:style>
  <w:style w:type="character" w:styleId="Rubrik3Char" w:customStyle="1">
    <w:name w:val="Rubrik 3 Char"/>
    <w:basedOn w:val="Standardstycketeckensnitt"/>
    <w:link w:val="Rubrik3"/>
    <w:rsid w:val="002F50B4"/>
    <w:rPr>
      <w:rFonts w:ascii="Arial" w:hAnsi="Arial" w:cs="Arial"/>
      <w:b/>
      <w:bCs/>
      <w:sz w:val="24"/>
      <w:szCs w:val="26"/>
    </w:rPr>
  </w:style>
  <w:style w:type="paragraph" w:styleId="Sidhuvud">
    <w:name w:val="header"/>
    <w:basedOn w:val="Normal"/>
    <w:link w:val="SidhuvudChar"/>
    <w:uiPriority w:val="99"/>
    <w:unhideWhenUsed/>
    <w:rsid w:val="007C5174"/>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7C5174"/>
    <w:rPr>
      <w:rFonts w:ascii="Arial" w:hAnsi="Arial"/>
      <w:sz w:val="24"/>
      <w:szCs w:val="24"/>
    </w:rPr>
  </w:style>
  <w:style w:type="paragraph" w:styleId="Sidfot">
    <w:name w:val="footer"/>
    <w:basedOn w:val="Normal"/>
    <w:link w:val="SidfotChar"/>
    <w:uiPriority w:val="99"/>
    <w:unhideWhenUsed/>
    <w:rsid w:val="007C5174"/>
    <w:pPr>
      <w:tabs>
        <w:tab w:val="center" w:pos="4536"/>
        <w:tab w:val="right" w:pos="9072"/>
      </w:tabs>
      <w:spacing w:line="240" w:lineRule="auto"/>
    </w:pPr>
  </w:style>
  <w:style w:type="character" w:styleId="SidfotChar" w:customStyle="1">
    <w:name w:val="Sidfot Char"/>
    <w:basedOn w:val="Standardstycketeckensnitt"/>
    <w:link w:val="Sidfot"/>
    <w:uiPriority w:val="99"/>
    <w:rsid w:val="007C5174"/>
    <w:rPr>
      <w:rFonts w:ascii="Arial" w:hAnsi="Arial"/>
      <w:sz w:val="24"/>
      <w:szCs w:val="24"/>
    </w:rPr>
  </w:style>
  <w:style w:type="paragraph" w:styleId="Ballongtext">
    <w:name w:val="Balloon Text"/>
    <w:basedOn w:val="Normal"/>
    <w:link w:val="BallongtextChar"/>
    <w:uiPriority w:val="99"/>
    <w:semiHidden/>
    <w:unhideWhenUsed/>
    <w:rsid w:val="007C5174"/>
    <w:pPr>
      <w:spacing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7C5174"/>
    <w:rPr>
      <w:rFonts w:ascii="Tahoma" w:hAnsi="Tahoma" w:cs="Tahoma"/>
      <w:sz w:val="16"/>
      <w:szCs w:val="16"/>
    </w:rPr>
  </w:style>
  <w:style w:type="table" w:styleId="Tabellrutnt">
    <w:name w:val="Table Grid"/>
    <w:basedOn w:val="Normaltabell"/>
    <w:uiPriority w:val="59"/>
    <w:rsid w:val="008D3B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stycke">
    <w:name w:val="List Paragraph"/>
    <w:basedOn w:val="Normal"/>
    <w:uiPriority w:val="34"/>
    <w:rsid w:val="004D5954"/>
    <w:pPr>
      <w:spacing w:after="200"/>
      <w:ind w:left="720"/>
      <w:contextualSpacing/>
    </w:pPr>
    <w:rPr>
      <w:rFonts w:ascii="Calibri" w:hAnsi="Calibri" w:eastAsia="Calibri"/>
      <w:sz w:val="22"/>
      <w:szCs w:val="22"/>
    </w:rPr>
  </w:style>
  <w:style w:type="character" w:styleId="Hyperlnk">
    <w:name w:val="Hyperlink"/>
    <w:uiPriority w:val="99"/>
    <w:unhideWhenUsed/>
    <w:rsid w:val="004D5954"/>
    <w:rPr>
      <w:color w:val="0000FF"/>
      <w:u w:val="single"/>
    </w:rPr>
  </w:style>
  <w:style w:type="paragraph" w:styleId="Rubrik">
    <w:name w:val="Title"/>
    <w:basedOn w:val="Rubrik2"/>
    <w:next w:val="Normal"/>
    <w:link w:val="RubrikChar"/>
    <w:rsid w:val="004D5954"/>
    <w:pPr>
      <w:spacing w:before="0" w:after="0" w:line="240" w:lineRule="auto"/>
    </w:pPr>
    <w:rPr>
      <w:bCs w:val="0"/>
      <w:iCs w:val="0"/>
      <w:sz w:val="40"/>
      <w:szCs w:val="40"/>
      <w:lang w:eastAsia="sv-SE"/>
    </w:rPr>
  </w:style>
  <w:style w:type="character" w:styleId="RubrikChar" w:customStyle="1">
    <w:name w:val="Rubrik Char"/>
    <w:basedOn w:val="Standardstycketeckensnitt"/>
    <w:link w:val="Rubrik"/>
    <w:rsid w:val="004D5954"/>
    <w:rPr>
      <w:rFonts w:ascii="Arial" w:hAnsi="Arial" w:cs="Arial"/>
      <w:b/>
      <w:sz w:val="40"/>
      <w:szCs w:val="40"/>
      <w:lang w:eastAsia="sv-SE"/>
    </w:rPr>
  </w:style>
  <w:style w:type="paragraph" w:styleId="Innehll1">
    <w:name w:val="toc 1"/>
    <w:basedOn w:val="Normal"/>
    <w:next w:val="Normal"/>
    <w:autoRedefine/>
    <w:uiPriority w:val="39"/>
    <w:rsid w:val="004D5954"/>
    <w:pPr>
      <w:spacing w:line="240" w:lineRule="auto"/>
    </w:pPr>
    <w:rPr>
      <w:rFonts w:cs="Arial"/>
      <w:sz w:val="26"/>
      <w:szCs w:val="26"/>
      <w:lang w:eastAsia="sv-SE"/>
    </w:rPr>
  </w:style>
  <w:style w:type="paragraph" w:styleId="Rutinrubrik" w:customStyle="1">
    <w:name w:val="Rutinrubrik"/>
    <w:basedOn w:val="Normal"/>
    <w:next w:val="Normal"/>
    <w:rsid w:val="001F4BEC"/>
    <w:pPr>
      <w:spacing w:after="240" w:line="240" w:lineRule="auto"/>
      <w:ind w:left="992" w:hanging="992"/>
    </w:pPr>
    <w:rPr>
      <w:rFonts w:cs="Arial"/>
      <w:b/>
      <w:bCs/>
      <w:color w:val="000000"/>
      <w:sz w:val="28"/>
      <w:szCs w:val="28"/>
      <w:lang w:eastAsia="sv-SE"/>
    </w:rPr>
  </w:style>
  <w:style w:type="paragraph" w:styleId="Default" w:customStyle="1">
    <w:name w:val="Default"/>
    <w:rsid w:val="001F4BEC"/>
    <w:pPr>
      <w:autoSpaceDE w:val="0"/>
      <w:autoSpaceDN w:val="0"/>
      <w:adjustRightInd w:val="0"/>
    </w:pPr>
    <w:rPr>
      <w:rFonts w:ascii="Arial" w:hAnsi="Arial" w:cs="Arial"/>
      <w:color w:val="000000"/>
      <w:sz w:val="24"/>
      <w:szCs w:val="24"/>
      <w:lang w:eastAsia="sv-SE"/>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1137">
      <w:bodyDiv w:val="1"/>
      <w:marLeft w:val="0"/>
      <w:marRight w:val="0"/>
      <w:marTop w:val="0"/>
      <w:marBottom w:val="0"/>
      <w:divBdr>
        <w:top w:val="none" w:sz="0" w:space="0" w:color="auto"/>
        <w:left w:val="none" w:sz="0" w:space="0" w:color="auto"/>
        <w:bottom w:val="none" w:sz="0" w:space="0" w:color="auto"/>
        <w:right w:val="none" w:sz="0" w:space="0" w:color="auto"/>
      </w:divBdr>
    </w:div>
    <w:div w:id="665714923">
      <w:bodyDiv w:val="1"/>
      <w:marLeft w:val="0"/>
      <w:marRight w:val="0"/>
      <w:marTop w:val="0"/>
      <w:marBottom w:val="0"/>
      <w:divBdr>
        <w:top w:val="none" w:sz="0" w:space="0" w:color="auto"/>
        <w:left w:val="none" w:sz="0" w:space="0" w:color="auto"/>
        <w:bottom w:val="none" w:sz="0" w:space="0" w:color="auto"/>
        <w:right w:val="none" w:sz="0" w:space="0" w:color="auto"/>
      </w:divBdr>
    </w:div>
    <w:div w:id="19103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riksdagen.se/sv/dokument-lagar/dokument/svensk-forfattningssamling/patientsakerhetslag-2010659_sfs-2010-659" TargetMode="External" Id="rId12" /><Relationship Type="http://schemas.openxmlformats.org/officeDocument/2006/relationships/customXml" Target="../customXml/item6.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word/header2.xml" Id="R8aca244124084157" /><Relationship Type="http://schemas.openxmlformats.org/officeDocument/2006/relationships/header" Target="/word/header3.xml" Id="R6ba6ba0bf6bb4ef2" /><Relationship Type="http://schemas.openxmlformats.org/officeDocument/2006/relationships/header" Target="/word/header4.xml" Id="Rb64ff093a8e84fb2" /><Relationship Type="http://schemas.openxmlformats.org/officeDocument/2006/relationships/footer" Target="/word/footer2.xml" Id="R9aad74d23c854dca" /><Relationship Type="http://schemas.openxmlformats.org/officeDocument/2006/relationships/footer" Target="/word/footer3.xml" Id="Rffabbe934c7e4c60" /><Relationship Type="http://schemas.openxmlformats.org/officeDocument/2006/relationships/footer" Target="/word/footer4.xml" Id="R96cacc9b711449f3" /></Relationships>
</file>

<file path=word/_rels/header3.xml.rels>&#65279;<?xml version="1.0" encoding="utf-8"?><Relationships xmlns="http://schemas.openxmlformats.org/package/2006/relationships"><Relationship Type="http://schemas.openxmlformats.org/officeDocument/2006/relationships/image" Target="/media/image.gif" Id="rId1" /></Relationships>
</file>

<file path=word/_rels/header4.xml.rels>&#65279;<?xml version="1.0" encoding="utf-8"?><Relationships xmlns="http://schemas.openxmlformats.org/package/2006/relationships"><Relationship Type="http://schemas.openxmlformats.org/officeDocument/2006/relationships/image" Target="/media/image2.gif"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F0877FE33758A94EA823FCF708781B84" ma:contentTypeVersion="7" ma:contentTypeDescription="Skapa ett nytt styrd dokument." ma:contentTypeScope="" ma:versionID="71f949f7d801182901c646effedf96e8">
  <xsd:schema xmlns:xsd="http://www.w3.org/2001/XMLSchema" xmlns:xs="http://www.w3.org/2001/XMLSchema" xmlns:p="http://schemas.microsoft.com/office/2006/metadata/properties" xmlns:ns1="http://schemas.microsoft.com/sharepoint/v3" xmlns:ns2="628576a3-8434-4986-aeeb-c9c5c3947adc" xmlns:ns3="95adaae7-f3b8-4594-ad2f-b3cc4c460f26" xmlns:ns4="http://schemas.microsoft.com/sharepoint/v4" targetNamespace="http://schemas.microsoft.com/office/2006/metadata/properties" ma:root="true" ma:fieldsID="0276117a3b30a9f296a4ba345a718851" ns1:_="" ns2:_="" ns3:_="" ns4:_="">
    <xsd:import namespace="http://schemas.microsoft.com/sharepoint/v3"/>
    <xsd:import namespace="628576a3-8434-4986-aeeb-c9c5c3947adc"/>
    <xsd:import namespace="95adaae7-f3b8-4594-ad2f-b3cc4c460f26"/>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e32bc2c600954b21b8771b7c871600ad" minOccurs="0"/>
                <xsd:element ref="ns2:TaxCatchAll"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576a3-8434-4986-aeeb-c9c5c3947adc"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e32bc2c600954b21b8771b7c871600ad" ma:index="28" nillable="true" ma:taxonomy="true" ma:internalName="e32bc2c600954b21b8771b7c871600ad" ma:taxonomyFieldName="RHI_ApprovedRole" ma:displayName="Fastställanderoll" ma:readOnly="true" ma:fieldId="{e32bc2c6-0095-4b21-b877-1b7c871600ad}"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04c67978-82f6-4e24-b6b2-7bdb1ec4c7c0}" ma:internalName="TaxCatchAll" ma:showField="CatchAllData"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04c67978-82f6-4e24-b6b2-7bdb1ec4c7c0}" ma:internalName="TaxCatchAllLabel" ma:readOnly="true" ma:showField="CatchAllDataLabel"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1" nillable="true" ma:taxonomy="true" ma:internalName="l3725d2185604df78b4bef80ff63202f" ma:taxonomyFieldName="RHI_MeSHMulti" ma:displayName="Medicinsk term" ma:fieldId="{53725d21-8560-4df7-8b4b-ef80ff63202f}"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3" nillable="true" ma:taxonomy="true" ma:internalName="i4d846bafbc94e6c892c2f207f8e6714" ma:taxonomyFieldName="RHI_KeywordsMulti" ma:displayName="Nyckelord" ma:fieldId="{24d846ba-fbc9-4e6c-892c-2f207f8e6714}"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5" nillable="true" ma:taxonomy="true" ma:internalName="k0e587a7c4ca45fb88ec6eb8cbb582c0" ma:taxonomyFieldName="RHI_MSChapter" ma:displayName="Kapitel" ma:fieldId="{40e587a7-c4ca-45fb-88ec-6eb8cbb582c0}"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9" ma:taxonomy="true" ma:internalName="c462f665bad2437cb8ba36ab4de68df8" ma:taxonomyFieldName="RHI_AppliesToOrganizationMulti" ma:displayName="Gäller för" ma:readOnly="false" ma:fieldId="{c462f665-bad2-437c-b8ba-36ab4de68df8}"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adaae7-f3b8-4594-ad2f-b3cc4c460f26"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47</Value>
      <Value>12</Value>
      <Value>28</Value>
      <Value>110</Value>
      <Value>75</Value>
      <Value>2</Value>
      <Value>62</Value>
      <Value>34</Value>
    </TaxCatchAll>
    <FSCD_DocumentOwner xmlns="d7020d13-187d-4fc8-9816-bd01783b86ee">
      <UserInfo>
        <DisplayName>Pettersson Hans RK STAB</DisplayName>
        <AccountId>41</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Sekretess</TermName>
          <TermId xmlns="http://schemas.microsoft.com/office/infopath/2007/PartnerControls">bb3866b4-5d23-492a-916b-233953d9f6b8</TermId>
        </TermInfo>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Hantering av information</TermName>
          <TermId xmlns="http://schemas.microsoft.com/office/infopath/2007/PartnerControls">f468e176-3d8b-472c-9b4c-016dbaae20d5</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i4d846bafbc94e6c892c2f207f8e6714>
    <RHI_ApprovedDate_Temp xmlns="a20921a3-d337-4f28-a5a8-d9fac85c55a0">2022-09-11T22:00:00+00:00</RHI_ApprovedDate_Temp>
    <FSCD_DocumentEdition_Temp xmlns="a20921a3-d337-4f28-a5a8-d9fac85c55a0">8</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Regional Säkerhetsansvarig</RHI_ApproverDisplay_Temp>
    <FSCD_ApprovedBy xmlns="d7020d13-187d-4fc8-9816-bd01783b86ee">
      <UserInfo>
        <DisplayName/>
        <AccountId>41</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Regional Säkerhetsansvarig</TermName>
          <TermId xmlns="http://schemas.microsoft.com/office/infopath/2007/PartnerControls">c2426dc2-5c03-4b1a-bc78-da7d2f515dbb</TermId>
        </TermInfo>
      </Terms>
    </e32bc2c600954b21b8771b7c871600ad>
    <RHI_ApprovedRole_Temp xmlns="a20921a3-d337-4f28-a5a8-d9fac85c55a0">Regional Säkerhetsansvarig</RHI_ApprovedRole_Temp>
    <FSCD_IsPublished xmlns="d7020d13-187d-4fc8-9816-bd01783b86ee">8.0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383cbc65-264b-4836-b888-6434d8e705e4</FSCD_DocumentId_Temp>
    <FSCD_DocumentIssuer xmlns="d7020d13-187d-4fc8-9816-bd01783b86ee">
      <UserInfo>
        <DisplayName>Pettersson Hans RK STAB</DisplayName>
        <AccountId>41</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7307CB1-0EF0-4B93-B693-2BD9D19E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8576a3-8434-4986-aeeb-c9c5c3947adc"/>
    <ds:schemaRef ds:uri="95adaae7-f3b8-4594-ad2f-b3cc4c460f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2E7A4-66DA-4E5B-B824-13CB36A84B57}"/>
</file>

<file path=customXml/itemProps3.xml><?xml version="1.0" encoding="utf-8"?>
<ds:datastoreItem xmlns:ds="http://schemas.openxmlformats.org/officeDocument/2006/customXml" ds:itemID="{CC8B1D2D-03C7-4414-82D4-88A6A11E5D91}">
  <ds:schemaRefs>
    <ds:schemaRef ds:uri="http://schemas.microsoft.com/sharepoint/v3/contenttype/forms"/>
  </ds:schemaRefs>
</ds:datastoreItem>
</file>

<file path=customXml/itemProps4.xml><?xml version="1.0" encoding="utf-8"?>
<ds:datastoreItem xmlns:ds="http://schemas.openxmlformats.org/officeDocument/2006/customXml" ds:itemID="{A52BB1C0-BAEB-4D5E-8F87-AB2DB8E1B9C3}">
  <ds:schemaRefs>
    <ds:schemaRef ds:uri="http://schemas.microsoft.com/office/2006/metadata/properties"/>
    <ds:schemaRef ds:uri="628576a3-8434-4986-aeeb-c9c5c3947adc"/>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sharepoint/v3"/>
    <ds:schemaRef ds:uri="http://purl.org/dc/terms/"/>
    <ds:schemaRef ds:uri="http://schemas.microsoft.com/office/infopath/2007/PartnerControls"/>
    <ds:schemaRef ds:uri="http://schemas.microsoft.com/sharepoint/v4"/>
    <ds:schemaRef ds:uri="95adaae7-f3b8-4594-ad2f-b3cc4c460f26"/>
  </ds:schemaRefs>
</ds:datastoreItem>
</file>

<file path=customXml/itemProps5.xml><?xml version="1.0" encoding="utf-8"?>
<ds:datastoreItem xmlns:ds="http://schemas.openxmlformats.org/officeDocument/2006/customXml" ds:itemID="{EA22C047-7ECD-41AC-B19F-99BFB89F754B}">
  <ds:schemaRefs>
    <ds:schemaRef ds:uri="http://schemas.microsoft.com/sharepoint/events"/>
  </ds:schemaRefs>
</ds:datastoreItem>
</file>

<file path=customXml/itemProps6.xml><?xml version="1.0" encoding="utf-8"?>
<ds:datastoreItem xmlns:ds="http://schemas.openxmlformats.org/officeDocument/2006/customXml" ds:itemID="{2CE99221-48A6-4AF6-A9D2-32220426F589}"/>
</file>

<file path=docProps/app.xml><?xml version="1.0" encoding="utf-8"?>
<Properties xmlns="http://schemas.openxmlformats.org/officeDocument/2006/extended-properties" xmlns:vt="http://schemas.openxmlformats.org/officeDocument/2006/docPropsVTypes">
  <Template>Normal</Template>
  <TotalTime>50</TotalTime>
  <Pages>2</Pages>
  <Words>779</Words>
  <Characters>4129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Sekretess polisen vid utlämnande av uppgift</vt:lpstr>
      <vt:lpstr/>
    </vt:vector>
  </TitlesOfParts>
  <Company>Microsoft</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Sekretess polisen vid utlämnande av uppgift</dc:title>
  <dc:creator>Pedersen Henrik RK UC Program- och projektstödsavd</dc:creator>
  <cp:lastModifiedBy>Pettersson Hans RK STAB</cp:lastModifiedBy>
  <cp:revision>9</cp:revision>
  <dcterms:created xsi:type="dcterms:W3CDTF">2012-12-05T15:46:00Z</dcterms:created>
  <dcterms:modified xsi:type="dcterms:W3CDTF">2022-09-12T08:50:00Z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28;#Sekretess|bb3866b4-5d23-492a-916b-233953d9f6b8;#62;#Journal|e82f75e4-2614-473a-b83d-f4a4b82fc1f1;#110;#Hantering av information|f468e176-3d8b-472c-9b4c-016dbaae20d5;#75;#Vårdgivarwebben|a3a2876a-cae2-4a49-a05e-c2d615d2551b</vt:lpwstr>
  </property>
  <property fmtid="{D5CDD505-2E9C-101B-9397-08002B2CF9AE}" pid="8" name="RHI_ApprovedRole">
    <vt:lpwstr>47;#Regional Säkerhetsansvarig|c2426dc2-5c03-4b1a-bc78-da7d2f515dbb</vt:lpwstr>
  </property>
  <property fmtid="{D5CDD505-2E9C-101B-9397-08002B2CF9AE}" pid="9" name="_dlc_DocIdItemGuid">
    <vt:lpwstr>383cbc65-264b-4836-b888-6434d8e705e4</vt:lpwstr>
  </property>
  <property fmtid="{D5CDD505-2E9C-101B-9397-08002B2CF9AE}" pid="10" name="FSCD_DocumentOwner">
    <vt:lpwstr>41;#Pettersson Hans RK STAB</vt:lpwstr>
  </property>
  <property fmtid="{D5CDD505-2E9C-101B-9397-08002B2CF9AE}" pid="11" name="i4d846bafbc94e6c892c2f207f8e6714">
    <vt:lpwstr>Sekretess|bb3866b4-5d23-492a-916b-233953d9f6b8;Journal|e82f75e4-2614-473a-b83d-f4a4b82fc1f1;Hantering av information|f468e176-3d8b-472c-9b4c-016dbaae20d5;Vårdgivarwebben|a3a2876a-cae2-4a49-a05e-c2d615d2551b</vt:lpwstr>
  </property>
  <property fmtid="{D5CDD505-2E9C-101B-9397-08002B2CF9AE}" pid="12" name="RHI_ApprovedDate_Temp">
    <vt:filetime>2022-07-14T22:00:00Z</vt:filetime>
  </property>
  <property fmtid="{D5CDD505-2E9C-101B-9397-08002B2CF9AE}" pid="14" name="FSCD_DocumentEdition_Temp">
    <vt:lpwstr>7</vt:lpwstr>
  </property>
  <property fmtid="{D5CDD505-2E9C-101B-9397-08002B2CF9AE}" pid="15" name="RHI_ReviewersMulti">
    <vt:lpwstr/>
  </property>
  <property fmtid="{D5CDD505-2E9C-101B-9397-08002B2CF9AE}" pid="16" name="RHI_ApproverDisplay_Temp">
    <vt:lpwstr>Regional Säkerhetsansvarig</vt:lpwstr>
  </property>
  <property fmtid="{D5CDD505-2E9C-101B-9397-08002B2CF9AE}" pid="17" name="FSCD_ApprovedBy">
    <vt:lpwstr>41</vt:lpwstr>
  </property>
  <property fmtid="{D5CDD505-2E9C-101B-9397-08002B2CF9AE}" pid="18" name="RHI_CD_Classification">
    <vt:lpwstr>1</vt:lpwstr>
  </property>
  <property fmtid="{D5CDD505-2E9C-101B-9397-08002B2CF9AE}" pid="19" name="k0e587a7c4ca45fb88ec6eb8cbb582c0">
    <vt:lpwstr>309. Informationssäkerhet|72a66159-ea04-4130-9e90-bbc83910d7c7</vt:lpwstr>
  </property>
  <property fmtid="{D5CDD505-2E9C-101B-9397-08002B2CF9AE}" pid="20" name="FSCD_DocumentTypeTags">
    <vt:lpwstr>Rutin|3ecd4889-b546-4b08-8daf-345ed6a301ab</vt:lpwstr>
  </property>
  <property fmtid="{D5CDD505-2E9C-101B-9397-08002B2CF9AE}" pid="21" name="e32bc2c600954b21b8771b7c871600ad">
    <vt:lpwstr>Regional Säkerhetsansvarig|c2426dc2-5c03-4b1a-bc78-da7d2f515dbb</vt:lpwstr>
  </property>
  <property fmtid="{D5CDD505-2E9C-101B-9397-08002B2CF9AE}" pid="22" name="RHI_ApprovedRole_Temp">
    <vt:lpwstr>Regional Säkerhetsansvarig</vt:lpwstr>
  </property>
  <property fmtid="{D5CDD505-2E9C-101B-9397-08002B2CF9AE}" pid="23" name="FSCD_IsPublished">
    <vt:lpwstr>7.0</vt:lpwstr>
  </property>
  <property fmtid="{D5CDD505-2E9C-101B-9397-08002B2CF9AE}" pid="25" name="RHI_CoAuthorsMulti">
    <vt:lpwstr/>
  </property>
  <property fmtid="{D5CDD505-2E9C-101B-9397-08002B2CF9AE}" pid="26" name="FSCD_DocumentId_Temp">
    <vt:lpwstr>383cbc65-264b-4836-b888-6434d8e705e4</vt:lpwstr>
  </property>
  <property fmtid="{D5CDD505-2E9C-101B-9397-08002B2CF9AE}" pid="27" name="FSCD_DocumentIssuer">
    <vt:lpwstr>41;#Pettersson Hans RK STAB</vt:lpwstr>
  </property>
  <property fmtid="{D5CDD505-2E9C-101B-9397-08002B2CF9AE}" pid="28" name="c462f665bad2437cb8ba36ab4de68df8">
    <vt:lpwstr>Region Halland|d72d8b1f-b373-4815-ab51-a5608c837237</vt:lpwstr>
  </property>
  <property fmtid="{D5CDD505-2E9C-101B-9397-08002B2CF9AE}" pid="29" name="URL">
    <vt:lpwstr/>
  </property>
  <property fmtid="{D5CDD505-2E9C-101B-9397-08002B2CF9AE}" pid="32" name="l3725d2185604df78b4bef80ff63202f">
    <vt:lpwstr/>
  </property>
</Properties>
</file>