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EE8" w:rsidRPr="006B0CC1" w:rsidRDefault="006B0CC1" w:rsidP="006B0CC1">
      <w:pPr>
        <w:tabs>
          <w:tab w:val="left" w:pos="3210"/>
        </w:tabs>
        <w:rPr>
          <w:rFonts w:ascii="Arial" w:hAnsi="Arial" w:cs="Arial"/>
        </w:rPr>
      </w:pPr>
      <w:r>
        <w:rPr>
          <w:rFonts w:cs="Arial"/>
          <w:noProof/>
          <w:lang w:eastAsia="sv-SE"/>
        </w:rPr>
        <w:drawing>
          <wp:anchor distT="0" distB="0" distL="114300" distR="114300" simplePos="0" relativeHeight="251659264" behindDoc="1" locked="0" layoutInCell="1" allowOverlap="1" wp14:anchorId="2F8FD0A4" wp14:editId="3B43F720">
            <wp:simplePos x="0" y="0"/>
            <wp:positionH relativeFrom="column">
              <wp:posOffset>-552450</wp:posOffset>
            </wp:positionH>
            <wp:positionV relativeFrom="paragraph">
              <wp:posOffset>-438150</wp:posOffset>
            </wp:positionV>
            <wp:extent cx="2524125" cy="598805"/>
            <wp:effectExtent l="0" t="0" r="9525" b="0"/>
            <wp:wrapNone/>
            <wp:docPr id="4" name="Bildobjekt 0" descr="Huvudlogotyp+dev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Huvudlogotyp+dev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4125" cy="598805"/>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r w:rsidR="00DA5164">
        <w:rPr>
          <w:rFonts w:ascii="Arial" w:hAnsi="Arial" w:cs="Arial"/>
        </w:rPr>
        <w:t>20</w:t>
      </w:r>
      <w:r w:rsidR="00915699">
        <w:rPr>
          <w:rFonts w:ascii="Arial" w:hAnsi="Arial" w:cs="Arial"/>
        </w:rPr>
        <w:t>21-06-16</w:t>
      </w:r>
      <w:bookmarkStart w:id="0" w:name="_GoBack"/>
      <w:bookmarkEnd w:id="0"/>
    </w:p>
    <w:p w:rsidR="006B0CC1" w:rsidRPr="00E50814" w:rsidRDefault="006538EA" w:rsidP="006B0CC1">
      <w:pPr>
        <w:tabs>
          <w:tab w:val="left" w:pos="3210"/>
        </w:tabs>
        <w:rPr>
          <w:rFonts w:ascii="Arial" w:hAnsi="Arial" w:cs="Arial"/>
          <w:b/>
          <w:sz w:val="28"/>
          <w:szCs w:val="28"/>
        </w:rPr>
      </w:pPr>
      <w:r>
        <w:rPr>
          <w:rFonts w:ascii="Arial" w:hAnsi="Arial" w:cs="Arial"/>
          <w:b/>
          <w:sz w:val="28"/>
          <w:szCs w:val="28"/>
        </w:rPr>
        <w:t>Sammanfattning av sjukskrivning</w:t>
      </w:r>
      <w:r w:rsidR="006F159F">
        <w:rPr>
          <w:rFonts w:ascii="Arial" w:hAnsi="Arial" w:cs="Arial"/>
          <w:b/>
          <w:sz w:val="28"/>
          <w:szCs w:val="28"/>
        </w:rPr>
        <w:t>s</w:t>
      </w:r>
      <w:r>
        <w:rPr>
          <w:rFonts w:ascii="Arial" w:hAnsi="Arial" w:cs="Arial"/>
          <w:b/>
          <w:sz w:val="28"/>
          <w:szCs w:val="28"/>
        </w:rPr>
        <w:t>relaterade</w:t>
      </w:r>
      <w:r w:rsidR="006F159F">
        <w:rPr>
          <w:rFonts w:ascii="Arial" w:hAnsi="Arial" w:cs="Arial"/>
          <w:b/>
          <w:sz w:val="28"/>
          <w:szCs w:val="28"/>
        </w:rPr>
        <w:t xml:space="preserve"> </w:t>
      </w:r>
      <w:r w:rsidR="009B2EDA">
        <w:rPr>
          <w:rFonts w:ascii="Arial" w:hAnsi="Arial" w:cs="Arial"/>
          <w:b/>
          <w:sz w:val="28"/>
          <w:szCs w:val="28"/>
        </w:rPr>
        <w:t>Intyg och</w:t>
      </w:r>
      <w:r w:rsidR="00E50814" w:rsidRPr="00587EE8">
        <w:rPr>
          <w:rFonts w:ascii="Arial" w:hAnsi="Arial" w:cs="Arial"/>
          <w:b/>
          <w:sz w:val="28"/>
          <w:szCs w:val="28"/>
        </w:rPr>
        <w:t xml:space="preserve"> avgifter</w:t>
      </w:r>
      <w:r w:rsidR="00E50814">
        <w:rPr>
          <w:rFonts w:ascii="Arial" w:hAnsi="Arial" w:cs="Arial"/>
          <w:b/>
          <w:sz w:val="28"/>
          <w:szCs w:val="28"/>
        </w:rPr>
        <w:t xml:space="preserve"> i Region Halland</w:t>
      </w:r>
    </w:p>
    <w:tbl>
      <w:tblPr>
        <w:tblStyle w:val="Tabellrutnt"/>
        <w:tblpPr w:leftFromText="141" w:rightFromText="141" w:vertAnchor="text" w:horzAnchor="margin" w:tblpY="778"/>
        <w:tblW w:w="9351" w:type="dxa"/>
        <w:tblLook w:val="04A0" w:firstRow="1" w:lastRow="0" w:firstColumn="1" w:lastColumn="0" w:noHBand="0" w:noVBand="1"/>
      </w:tblPr>
      <w:tblGrid>
        <w:gridCol w:w="2885"/>
        <w:gridCol w:w="6466"/>
      </w:tblGrid>
      <w:tr w:rsidR="00BB3411" w:rsidTr="00BB3411">
        <w:tc>
          <w:tcPr>
            <w:tcW w:w="0" w:type="auto"/>
          </w:tcPr>
          <w:p w:rsidR="00587EE8" w:rsidRPr="00E61972" w:rsidRDefault="00587EE8" w:rsidP="00587EE8">
            <w:pPr>
              <w:tabs>
                <w:tab w:val="left" w:pos="3210"/>
              </w:tabs>
              <w:rPr>
                <w:rFonts w:ascii="Arial" w:hAnsi="Arial" w:cs="Arial"/>
                <w:b/>
                <w:sz w:val="28"/>
                <w:szCs w:val="28"/>
              </w:rPr>
            </w:pPr>
            <w:r w:rsidRPr="00E61972">
              <w:rPr>
                <w:rFonts w:ascii="Arial" w:hAnsi="Arial" w:cs="Arial"/>
                <w:b/>
                <w:sz w:val="28"/>
                <w:szCs w:val="28"/>
              </w:rPr>
              <w:t>Aktivitet</w:t>
            </w:r>
          </w:p>
        </w:tc>
        <w:tc>
          <w:tcPr>
            <w:tcW w:w="6466" w:type="dxa"/>
          </w:tcPr>
          <w:p w:rsidR="00587EE8" w:rsidRPr="00006249" w:rsidRDefault="00587EE8" w:rsidP="00587EE8">
            <w:pPr>
              <w:tabs>
                <w:tab w:val="left" w:pos="3210"/>
              </w:tabs>
              <w:rPr>
                <w:rFonts w:ascii="Arial" w:hAnsi="Arial" w:cs="Arial"/>
              </w:rPr>
            </w:pPr>
          </w:p>
        </w:tc>
      </w:tr>
      <w:tr w:rsidR="00BB3411" w:rsidTr="00BB3411">
        <w:tc>
          <w:tcPr>
            <w:tcW w:w="0" w:type="auto"/>
          </w:tcPr>
          <w:p w:rsidR="00587EE8" w:rsidRDefault="00587EE8" w:rsidP="00587EE8">
            <w:pPr>
              <w:tabs>
                <w:tab w:val="left" w:pos="3210"/>
              </w:tabs>
              <w:rPr>
                <w:rFonts w:ascii="Arial" w:hAnsi="Arial" w:cs="Arial"/>
                <w:b/>
                <w:sz w:val="24"/>
                <w:szCs w:val="24"/>
              </w:rPr>
            </w:pPr>
            <w:r w:rsidRPr="00587EE8">
              <w:rPr>
                <w:rFonts w:ascii="Arial" w:hAnsi="Arial" w:cs="Arial"/>
                <w:b/>
                <w:sz w:val="24"/>
                <w:szCs w:val="24"/>
              </w:rPr>
              <w:t>Förl</w:t>
            </w:r>
            <w:r>
              <w:rPr>
                <w:rFonts w:ascii="Arial" w:hAnsi="Arial" w:cs="Arial"/>
                <w:b/>
                <w:sz w:val="24"/>
                <w:szCs w:val="24"/>
              </w:rPr>
              <w:t>ängt Sjukintyg</w:t>
            </w:r>
          </w:p>
          <w:p w:rsidR="00587EE8" w:rsidRPr="00587EE8" w:rsidRDefault="00587EE8" w:rsidP="002C191A">
            <w:pPr>
              <w:tabs>
                <w:tab w:val="left" w:pos="3210"/>
              </w:tabs>
              <w:rPr>
                <w:rFonts w:ascii="Arial" w:hAnsi="Arial" w:cs="Arial"/>
                <w:b/>
                <w:sz w:val="24"/>
                <w:szCs w:val="24"/>
              </w:rPr>
            </w:pPr>
          </w:p>
        </w:tc>
        <w:tc>
          <w:tcPr>
            <w:tcW w:w="6466" w:type="dxa"/>
          </w:tcPr>
          <w:p w:rsidR="005E7B3B" w:rsidRPr="00006249" w:rsidRDefault="005E7B3B" w:rsidP="00587EE8">
            <w:r w:rsidRPr="00006249">
              <w:t>En förlängning av en sjukskrivning ska göras i en vårdkontakt mellan patient och läkare. Vårdkontakten med läkaren kan ske fysiskt (mottagningsbesök) eller via distans (distanskontakt via telefon eller via video). Detta är ett vanligt läkarbesök och patient betalar vanlig patientavgift. Förlängningen ingår i besöket.</w:t>
            </w:r>
          </w:p>
          <w:p w:rsidR="005E7B3B" w:rsidRPr="00006249" w:rsidRDefault="005E7B3B" w:rsidP="00587EE8">
            <w:r w:rsidRPr="00006249">
              <w:t>Om patient skriver på 1177 om en önskan om en förlängning av en sjukskrivning är det en Skriftlig distanskontakt och patient får betala för denna vårdkontakt med läkaren</w:t>
            </w:r>
            <w:r w:rsidRPr="00006249">
              <w:br/>
              <w:t xml:space="preserve">Om läkaren förlänger en sjukskrivning genom </w:t>
            </w:r>
            <w:r w:rsidR="00006249" w:rsidRPr="00006249">
              <w:t xml:space="preserve">att annan vårdpersonal uppmärksammat behov, </w:t>
            </w:r>
            <w:r w:rsidRPr="00006249">
              <w:t xml:space="preserve">utan </w:t>
            </w:r>
            <w:r w:rsidR="00006249" w:rsidRPr="00006249">
              <w:t>direkt</w:t>
            </w:r>
            <w:r w:rsidRPr="00006249">
              <w:t>kontakt med patienten själv är det en Telefonkontakt och patient får betala 100 kr för förlängningen av sjukskrivningen</w:t>
            </w:r>
          </w:p>
          <w:p w:rsidR="00587EE8" w:rsidRPr="00006249" w:rsidRDefault="00587EE8" w:rsidP="002C191A">
            <w:pPr>
              <w:rPr>
                <w:rFonts w:ascii="Arial" w:hAnsi="Arial" w:cs="Arial"/>
              </w:rPr>
            </w:pPr>
          </w:p>
        </w:tc>
      </w:tr>
      <w:tr w:rsidR="00E50814" w:rsidTr="00BB3411">
        <w:tc>
          <w:tcPr>
            <w:tcW w:w="0" w:type="auto"/>
          </w:tcPr>
          <w:p w:rsidR="00587EE8" w:rsidRPr="00587EE8" w:rsidRDefault="00D0197F" w:rsidP="00587EE8">
            <w:pPr>
              <w:tabs>
                <w:tab w:val="left" w:pos="3210"/>
              </w:tabs>
              <w:rPr>
                <w:rFonts w:ascii="Arial" w:hAnsi="Arial" w:cs="Arial"/>
                <w:b/>
                <w:sz w:val="24"/>
                <w:szCs w:val="24"/>
              </w:rPr>
            </w:pPr>
            <w:r>
              <w:rPr>
                <w:rFonts w:ascii="Arial" w:hAnsi="Arial" w:cs="Arial"/>
                <w:b/>
                <w:sz w:val="24"/>
                <w:szCs w:val="24"/>
              </w:rPr>
              <w:t>Förstadagsintyg</w:t>
            </w:r>
          </w:p>
        </w:tc>
        <w:tc>
          <w:tcPr>
            <w:tcW w:w="6466" w:type="dxa"/>
          </w:tcPr>
          <w:p w:rsidR="00D0197F" w:rsidRPr="002665FE" w:rsidRDefault="00D0197F" w:rsidP="00D0197F">
            <w:r w:rsidRPr="002665FE">
              <w:t>Lag (</w:t>
            </w:r>
            <w:proofErr w:type="gramStart"/>
            <w:r w:rsidRPr="002665FE">
              <w:t>1991:1047</w:t>
            </w:r>
            <w:proofErr w:type="gramEnd"/>
            <w:r w:rsidRPr="002665FE">
              <w:t>)</w:t>
            </w:r>
            <w:r>
              <w:t xml:space="preserve"> om sjuklön, § 10 a, </w:t>
            </w:r>
            <w:r w:rsidRPr="002665FE">
              <w:t xml:space="preserve">Tjänstemannabeslut Ls 080300-2 </w:t>
            </w:r>
          </w:p>
          <w:p w:rsidR="00D0197F" w:rsidRPr="002665FE" w:rsidRDefault="00D0197F" w:rsidP="00D0197F">
            <w:r w:rsidRPr="002665FE">
              <w:t xml:space="preserve">Besöket räknas som </w:t>
            </w:r>
            <w:r>
              <w:t xml:space="preserve">ett vanligt </w:t>
            </w:r>
            <w:r w:rsidRPr="002665FE">
              <w:t>sjukvård</w:t>
            </w:r>
            <w:r>
              <w:t>sbesök</w:t>
            </w:r>
            <w:r w:rsidRPr="002665FE">
              <w:t xml:space="preserve"> och patientavgift tas ut som för läkarbesök. Sjukintyg ingår som vanligt i patientavgiften. </w:t>
            </w:r>
          </w:p>
          <w:p w:rsidR="00D0197F" w:rsidRPr="002665FE" w:rsidRDefault="00D0197F" w:rsidP="00D0197F">
            <w:r w:rsidRPr="002665FE">
              <w:t xml:space="preserve">En arbetsgivare får, om det finns särskilda skäl för det, begära att arbetstagaren genom intyg av läkare eller tandläkare styrker nedsättningen av arbetsförmågan från och med en tidigare dag i sjukperioden eller från och med den första dagen av varje kommande sjukperiod </w:t>
            </w:r>
          </w:p>
          <w:p w:rsidR="00587EE8" w:rsidRPr="002665FE" w:rsidRDefault="00E50814" w:rsidP="00587EE8">
            <w:r>
              <w:t>(</w:t>
            </w:r>
            <w:r w:rsidR="00D0197F" w:rsidRPr="004E673D">
              <w:rPr>
                <w:i/>
              </w:rPr>
              <w:t>Det är vanligen en överenskommelse mellan arbetsgivaren och patienten om att intyget utfärdas av företagshälsovården</w:t>
            </w:r>
            <w:r w:rsidR="004E673D" w:rsidRPr="004E673D">
              <w:rPr>
                <w:i/>
              </w:rPr>
              <w:t>) I övrigt gäller prioritering av vård och dess möjlighet att utfärda ett sådant intyg av vården.)</w:t>
            </w:r>
          </w:p>
        </w:tc>
      </w:tr>
      <w:tr w:rsidR="00E50814" w:rsidTr="00BB3411">
        <w:tc>
          <w:tcPr>
            <w:tcW w:w="0" w:type="auto"/>
          </w:tcPr>
          <w:p w:rsidR="00587EE8" w:rsidRPr="00587EE8" w:rsidRDefault="00E50814" w:rsidP="00587EE8">
            <w:pPr>
              <w:tabs>
                <w:tab w:val="left" w:pos="3210"/>
              </w:tabs>
              <w:rPr>
                <w:rFonts w:ascii="Arial" w:hAnsi="Arial" w:cs="Arial"/>
                <w:b/>
                <w:sz w:val="24"/>
                <w:szCs w:val="24"/>
              </w:rPr>
            </w:pPr>
            <w:r>
              <w:rPr>
                <w:rFonts w:ascii="Arial" w:hAnsi="Arial" w:cs="Arial"/>
                <w:b/>
                <w:sz w:val="24"/>
                <w:szCs w:val="24"/>
              </w:rPr>
              <w:t>Avstämningsmöte Försäkringskassan</w:t>
            </w:r>
          </w:p>
        </w:tc>
        <w:tc>
          <w:tcPr>
            <w:tcW w:w="6466" w:type="dxa"/>
          </w:tcPr>
          <w:p w:rsidR="00E50814" w:rsidRDefault="00E50814" w:rsidP="00E50814">
            <w:r w:rsidRPr="002665FE">
              <w:t xml:space="preserve">Ett avstämningsmöte enligt Socialförsäkringsbalken 110 kap 14 § genomförs genom att </w:t>
            </w:r>
            <w:r w:rsidR="002C191A">
              <w:t>den försäkrade tillsammans med F</w:t>
            </w:r>
            <w:r w:rsidRPr="002665FE">
              <w:t xml:space="preserve">örsäkringskassans representant träffar en eller flera aktörer för att göra en bedömning av den försäkrades medicinska tillstånd, arbetsförmåga samt behov av och möjligheter till rehabilitering.  </w:t>
            </w:r>
          </w:p>
          <w:p w:rsidR="00E50814" w:rsidRPr="002665FE" w:rsidRDefault="00E50814" w:rsidP="00E50814">
            <w:r w:rsidRPr="002665FE">
              <w:t xml:space="preserve">Försäkringskassan ansvarar för att deltagarna kallas till mötet, klarlägger syftet med mötet och vilka som skall delta.  </w:t>
            </w:r>
          </w:p>
          <w:p w:rsidR="00E50814" w:rsidRDefault="00E50814" w:rsidP="00E50814"/>
          <w:p w:rsidR="00E50814" w:rsidRPr="002665FE" w:rsidRDefault="00E50814" w:rsidP="00E50814">
            <w:r w:rsidRPr="002665FE">
              <w:t xml:space="preserve">Försäkringskassan skall inför avstämningsmötet inhämta den försäkrades samtycke till att lämna ut information om den försäkrade till övriga som deltar i mötet.  </w:t>
            </w:r>
          </w:p>
          <w:p w:rsidR="00E50814" w:rsidRPr="002665FE" w:rsidRDefault="00E50814" w:rsidP="00E50814">
            <w:r w:rsidRPr="002665FE">
              <w:t xml:space="preserve">Försäkringskassan skall dokumentera vad som kommer fram under mötet enligt 1 § och omgående skicka denna dokumentation till deltagarna.  </w:t>
            </w:r>
          </w:p>
          <w:p w:rsidR="00E50814" w:rsidRDefault="00E50814" w:rsidP="00E50814">
            <w:r w:rsidRPr="002665FE">
              <w:t xml:space="preserve">Arvode till läkare utgår enligt RFFS 2003:10, då denne deltar i avstämningsmötet. </w:t>
            </w:r>
          </w:p>
          <w:p w:rsidR="00E50814" w:rsidRDefault="00E50814" w:rsidP="00E50814">
            <w:r w:rsidRPr="002665FE">
              <w:t xml:space="preserve">Högst 750 kr för 1:a timmen och därefter högst 375 kr per påbörjad halvtimme plus moms.  </w:t>
            </w:r>
          </w:p>
          <w:p w:rsidR="00E50814" w:rsidRPr="002C191A" w:rsidRDefault="00E50814" w:rsidP="00E50814"/>
          <w:p w:rsidR="00E50814" w:rsidRPr="002C191A" w:rsidRDefault="00E50814" w:rsidP="00E50814">
            <w:r w:rsidRPr="002C191A">
              <w:t xml:space="preserve">När läkare inte deltar utgår inget arvode.  </w:t>
            </w:r>
          </w:p>
          <w:p w:rsidR="00E50814" w:rsidRPr="002C191A" w:rsidRDefault="00E50814" w:rsidP="00E50814">
            <w:r w:rsidRPr="002C191A">
              <w:t xml:space="preserve">Det är vårdens eget ansvar att fakturera Försäkringskassan. </w:t>
            </w:r>
          </w:p>
          <w:p w:rsidR="00E50814" w:rsidRPr="002C191A" w:rsidRDefault="00E50814" w:rsidP="00E50814">
            <w:r w:rsidRPr="002C191A">
              <w:t>Deltar patient i mötet kan besök registreras på vårdenhet</w:t>
            </w:r>
            <w:r w:rsidR="005E7B3B" w:rsidRPr="002C191A">
              <w:t xml:space="preserve"> med besöksform ”medverkan enstaka besök”, P0 och Gena</w:t>
            </w:r>
            <w:r w:rsidRPr="002C191A">
              <w:t xml:space="preserve">. </w:t>
            </w:r>
          </w:p>
          <w:p w:rsidR="00E50814" w:rsidRPr="002C191A" w:rsidRDefault="00E50814" w:rsidP="00E50814">
            <w:r w:rsidRPr="002C191A">
              <w:t xml:space="preserve">Besöket är gratis för patienten. </w:t>
            </w:r>
          </w:p>
          <w:p w:rsidR="00E50814" w:rsidRPr="002C191A" w:rsidRDefault="00E50814" w:rsidP="00E50814">
            <w:r w:rsidRPr="002C191A">
              <w:t>Deltar inte patient i</w:t>
            </w:r>
            <w:r w:rsidR="005E7B3B" w:rsidRPr="002C191A">
              <w:t xml:space="preserve"> mötet behöver inget besök registreras på vårdenheten. Om det önskas registrera ett besök för att ha det i sin tidbok ska det vara med besöksformen ”medverkan enstaka besök”, P0 och Gena</w:t>
            </w:r>
          </w:p>
          <w:p w:rsidR="00E50814" w:rsidRPr="002665FE" w:rsidRDefault="00E50814" w:rsidP="00E50814"/>
          <w:p w:rsidR="00E50814" w:rsidRPr="002665FE" w:rsidRDefault="00E50814" w:rsidP="00E50814">
            <w:pPr>
              <w:rPr>
                <w:b/>
              </w:rPr>
            </w:pPr>
            <w:r w:rsidRPr="002665FE">
              <w:rPr>
                <w:b/>
              </w:rPr>
              <w:t xml:space="preserve">Sjukintyg utfärdas vid avstämningsmöte då FK är med: </w:t>
            </w:r>
          </w:p>
          <w:p w:rsidR="00E50814" w:rsidRPr="002665FE" w:rsidRDefault="00E50814" w:rsidP="00E50814">
            <w:r w:rsidRPr="002665FE">
              <w:t xml:space="preserve">Patient betalar inte för detta intyg oavsett om patient är med eller inte på detta avstämningsmöte. </w:t>
            </w:r>
          </w:p>
          <w:p w:rsidR="00E50814" w:rsidRPr="002665FE" w:rsidRDefault="00E50814" w:rsidP="00E50814">
            <w:r w:rsidRPr="002665FE">
              <w:t xml:space="preserve">Detta är ett beslut som är taget av läkare. </w:t>
            </w:r>
          </w:p>
          <w:p w:rsidR="00E50814" w:rsidRDefault="00E50814" w:rsidP="00E50814">
            <w:r w:rsidRPr="002665FE">
              <w:t xml:space="preserve">Vårdenheten fakturerar FK och i dessa pengar ligger även ersättning för sjukskrivning. </w:t>
            </w:r>
          </w:p>
          <w:p w:rsidR="00E50814" w:rsidRPr="002665FE" w:rsidRDefault="00E50814" w:rsidP="00E50814"/>
          <w:p w:rsidR="00E50814" w:rsidRPr="002665FE" w:rsidRDefault="00E50814" w:rsidP="00E50814">
            <w:pPr>
              <w:rPr>
                <w:b/>
              </w:rPr>
            </w:pPr>
            <w:r w:rsidRPr="002665FE">
              <w:rPr>
                <w:b/>
              </w:rPr>
              <w:t xml:space="preserve">Sjukintyg utfärdas vid avstämningsmöte med FK då läkare inte är med: </w:t>
            </w:r>
          </w:p>
          <w:p w:rsidR="00E50814" w:rsidRPr="002665FE" w:rsidRDefault="00E50814" w:rsidP="00E50814">
            <w:r w:rsidRPr="002665FE">
              <w:t xml:space="preserve">Är inte läkare med kan inte FK faktureras. </w:t>
            </w:r>
          </w:p>
          <w:p w:rsidR="007E09DF" w:rsidRDefault="00E50814" w:rsidP="00E50814">
            <w:r w:rsidRPr="002665FE">
              <w:t xml:space="preserve">Patient betalar för detta intyg då det likställs med ”telefonbesök”, </w:t>
            </w:r>
          </w:p>
          <w:p w:rsidR="00E50814" w:rsidRPr="002665FE" w:rsidRDefault="00E50814" w:rsidP="00E50814">
            <w:r w:rsidRPr="002665FE">
              <w:t>d</w:t>
            </w:r>
            <w:r w:rsidR="007E09DF">
              <w:t xml:space="preserve"> </w:t>
            </w:r>
            <w:r w:rsidRPr="002665FE">
              <w:t>v</w:t>
            </w:r>
            <w:r w:rsidR="007E09DF">
              <w:t xml:space="preserve"> </w:t>
            </w:r>
            <w:r w:rsidRPr="002665FE">
              <w:t xml:space="preserve">s då information till läkare om förlängning av sjukintyg kommer via annan vårdgivare. </w:t>
            </w:r>
          </w:p>
          <w:p w:rsidR="00E50814" w:rsidRPr="002665FE" w:rsidRDefault="00E50814" w:rsidP="00E50814"/>
          <w:p w:rsidR="00587EE8" w:rsidRPr="002665FE" w:rsidRDefault="00587EE8" w:rsidP="00587EE8"/>
        </w:tc>
      </w:tr>
      <w:tr w:rsidR="00E50814" w:rsidTr="00BB3411">
        <w:tc>
          <w:tcPr>
            <w:tcW w:w="0" w:type="auto"/>
          </w:tcPr>
          <w:p w:rsidR="00E50814" w:rsidRDefault="009A3356" w:rsidP="00587EE8">
            <w:pPr>
              <w:tabs>
                <w:tab w:val="left" w:pos="3210"/>
              </w:tabs>
              <w:rPr>
                <w:rFonts w:ascii="Arial" w:hAnsi="Arial" w:cs="Arial"/>
                <w:b/>
                <w:sz w:val="24"/>
                <w:szCs w:val="24"/>
              </w:rPr>
            </w:pPr>
            <w:r>
              <w:rPr>
                <w:rFonts w:ascii="Arial" w:hAnsi="Arial" w:cs="Arial"/>
                <w:b/>
                <w:sz w:val="24"/>
                <w:szCs w:val="24"/>
              </w:rPr>
              <w:lastRenderedPageBreak/>
              <w:t>Rehabiliteringsmöte</w:t>
            </w:r>
            <w:r w:rsidR="00E50814">
              <w:rPr>
                <w:rFonts w:ascii="Arial" w:hAnsi="Arial" w:cs="Arial"/>
                <w:b/>
                <w:sz w:val="24"/>
                <w:szCs w:val="24"/>
              </w:rPr>
              <w:t>,</w:t>
            </w:r>
          </w:p>
          <w:p w:rsidR="00BB3411" w:rsidRDefault="00E50814" w:rsidP="00587EE8">
            <w:pPr>
              <w:tabs>
                <w:tab w:val="left" w:pos="3210"/>
              </w:tabs>
              <w:rPr>
                <w:rFonts w:ascii="Arial" w:hAnsi="Arial" w:cs="Arial"/>
                <w:b/>
                <w:sz w:val="24"/>
                <w:szCs w:val="24"/>
              </w:rPr>
            </w:pPr>
            <w:r>
              <w:rPr>
                <w:rFonts w:ascii="Arial" w:hAnsi="Arial" w:cs="Arial"/>
                <w:b/>
                <w:sz w:val="24"/>
                <w:szCs w:val="24"/>
              </w:rPr>
              <w:t>trepartsmöte/</w:t>
            </w:r>
          </w:p>
          <w:p w:rsidR="00BB3411" w:rsidRDefault="00E50814" w:rsidP="00587EE8">
            <w:pPr>
              <w:tabs>
                <w:tab w:val="left" w:pos="3210"/>
              </w:tabs>
              <w:rPr>
                <w:rFonts w:ascii="Arial" w:hAnsi="Arial" w:cs="Arial"/>
                <w:b/>
                <w:sz w:val="24"/>
                <w:szCs w:val="24"/>
              </w:rPr>
            </w:pPr>
            <w:r>
              <w:rPr>
                <w:rFonts w:ascii="Arial" w:hAnsi="Arial" w:cs="Arial"/>
                <w:b/>
                <w:sz w:val="24"/>
                <w:szCs w:val="24"/>
              </w:rPr>
              <w:t>flerpartsmöte</w:t>
            </w:r>
            <w:r w:rsidR="00BB3411">
              <w:rPr>
                <w:rFonts w:ascii="Arial" w:hAnsi="Arial" w:cs="Arial"/>
                <w:b/>
                <w:sz w:val="24"/>
                <w:szCs w:val="24"/>
              </w:rPr>
              <w:t>/SIP</w:t>
            </w:r>
          </w:p>
        </w:tc>
        <w:tc>
          <w:tcPr>
            <w:tcW w:w="6466" w:type="dxa"/>
          </w:tcPr>
          <w:p w:rsidR="00BB3411" w:rsidRPr="002665FE" w:rsidRDefault="009A3356" w:rsidP="00BB3411">
            <w:r>
              <w:t>Rehabiliteringsmöte</w:t>
            </w:r>
            <w:r w:rsidR="00BB3411" w:rsidRPr="002665FE">
              <w:t xml:space="preserve">/trepartsmöte/flerpartsmöte likställs med samordnad vårdplanering i både innehåll och tid.  </w:t>
            </w:r>
          </w:p>
          <w:p w:rsidR="00BB3411" w:rsidRPr="002665FE" w:rsidRDefault="00BB3411" w:rsidP="00BB3411">
            <w:r w:rsidRPr="002665FE">
              <w:t>Den samordnade vårdplaneringen kan exempelvis vara läkare/patient/arbetsgivare eller läkare/patie</w:t>
            </w:r>
            <w:r w:rsidR="009A3356">
              <w:t>nt/arbetslivsförvaltning alternativt kommunen representanter.</w:t>
            </w:r>
            <w:r w:rsidRPr="002665FE">
              <w:t xml:space="preserve">  </w:t>
            </w:r>
          </w:p>
          <w:p w:rsidR="00BB3411" w:rsidRDefault="00BB3411" w:rsidP="00BB3411">
            <w:r w:rsidRPr="002665FE">
              <w:t xml:space="preserve">Ingen patientavgift tas ut av patienten och vårdgivaren kan inte heller debitera arbetsgivare eller arbetslivsförvaltning, Ls 080300-4. </w:t>
            </w:r>
          </w:p>
          <w:p w:rsidR="00BB3411" w:rsidRPr="002665FE" w:rsidRDefault="00BB3411" w:rsidP="00BB3411"/>
          <w:p w:rsidR="00E50814" w:rsidRPr="002665FE" w:rsidRDefault="00E50814" w:rsidP="00E50814"/>
        </w:tc>
      </w:tr>
      <w:tr w:rsidR="00A44088" w:rsidTr="00BB3411">
        <w:tc>
          <w:tcPr>
            <w:tcW w:w="0" w:type="auto"/>
          </w:tcPr>
          <w:p w:rsidR="00A44088" w:rsidRDefault="00A44088" w:rsidP="00587EE8">
            <w:pPr>
              <w:tabs>
                <w:tab w:val="left" w:pos="3210"/>
              </w:tabs>
              <w:rPr>
                <w:rFonts w:ascii="Arial" w:hAnsi="Arial" w:cs="Arial"/>
                <w:b/>
                <w:sz w:val="24"/>
                <w:szCs w:val="24"/>
              </w:rPr>
            </w:pPr>
            <w:r>
              <w:rPr>
                <w:rFonts w:ascii="Arial" w:hAnsi="Arial" w:cs="Arial"/>
                <w:b/>
                <w:sz w:val="24"/>
                <w:szCs w:val="24"/>
              </w:rPr>
              <w:t>Kartläggande samtal</w:t>
            </w:r>
          </w:p>
          <w:p w:rsidR="00A44088" w:rsidRDefault="00A44088" w:rsidP="00587EE8">
            <w:pPr>
              <w:tabs>
                <w:tab w:val="left" w:pos="3210"/>
              </w:tabs>
              <w:rPr>
                <w:rFonts w:ascii="Arial" w:hAnsi="Arial" w:cs="Arial"/>
                <w:b/>
                <w:sz w:val="24"/>
                <w:szCs w:val="24"/>
              </w:rPr>
            </w:pPr>
            <w:r>
              <w:rPr>
                <w:rFonts w:ascii="Arial" w:hAnsi="Arial" w:cs="Arial"/>
                <w:b/>
                <w:sz w:val="24"/>
                <w:szCs w:val="24"/>
              </w:rPr>
              <w:t>Reko</w:t>
            </w:r>
          </w:p>
          <w:p w:rsidR="00A44088" w:rsidRDefault="00A44088" w:rsidP="00587EE8">
            <w:pPr>
              <w:tabs>
                <w:tab w:val="left" w:pos="3210"/>
              </w:tabs>
              <w:rPr>
                <w:rFonts w:ascii="Arial" w:hAnsi="Arial" w:cs="Arial"/>
                <w:b/>
                <w:sz w:val="24"/>
                <w:szCs w:val="24"/>
              </w:rPr>
            </w:pPr>
          </w:p>
        </w:tc>
        <w:tc>
          <w:tcPr>
            <w:tcW w:w="6466" w:type="dxa"/>
          </w:tcPr>
          <w:p w:rsidR="009148A7" w:rsidRDefault="00A44088" w:rsidP="006F159F">
            <w:r>
              <w:t>Bokas som ”Rehabbedömning öppenvård”</w:t>
            </w:r>
            <w:r w:rsidR="00432584">
              <w:t xml:space="preserve"> och </w:t>
            </w:r>
            <w:r w:rsidR="006F159F">
              <w:t>är avgiftsfritt.</w:t>
            </w:r>
          </w:p>
        </w:tc>
      </w:tr>
      <w:tr w:rsidR="007E09DF" w:rsidTr="00BB3411">
        <w:tc>
          <w:tcPr>
            <w:tcW w:w="0" w:type="auto"/>
          </w:tcPr>
          <w:p w:rsidR="007E09DF" w:rsidRDefault="009A3356" w:rsidP="00587EE8">
            <w:pPr>
              <w:tabs>
                <w:tab w:val="left" w:pos="3210"/>
              </w:tabs>
              <w:rPr>
                <w:rFonts w:ascii="Arial" w:hAnsi="Arial" w:cs="Arial"/>
                <w:b/>
                <w:sz w:val="24"/>
                <w:szCs w:val="24"/>
              </w:rPr>
            </w:pPr>
            <w:r>
              <w:rPr>
                <w:rFonts w:ascii="Arial" w:hAnsi="Arial" w:cs="Arial"/>
                <w:b/>
                <w:sz w:val="24"/>
                <w:szCs w:val="24"/>
              </w:rPr>
              <w:t xml:space="preserve">Medicinskt underlag </w:t>
            </w:r>
            <w:r w:rsidR="007E09DF">
              <w:rPr>
                <w:rFonts w:ascii="Arial" w:hAnsi="Arial" w:cs="Arial"/>
                <w:b/>
                <w:sz w:val="24"/>
                <w:szCs w:val="24"/>
              </w:rPr>
              <w:t>som</w:t>
            </w:r>
          </w:p>
          <w:p w:rsidR="007E09DF" w:rsidRDefault="007E09DF" w:rsidP="00587EE8">
            <w:pPr>
              <w:tabs>
                <w:tab w:val="left" w:pos="3210"/>
              </w:tabs>
              <w:rPr>
                <w:rFonts w:ascii="Arial" w:hAnsi="Arial" w:cs="Arial"/>
                <w:b/>
                <w:sz w:val="24"/>
                <w:szCs w:val="24"/>
              </w:rPr>
            </w:pPr>
            <w:r>
              <w:rPr>
                <w:rFonts w:ascii="Arial" w:hAnsi="Arial" w:cs="Arial"/>
                <w:b/>
                <w:sz w:val="24"/>
                <w:szCs w:val="24"/>
              </w:rPr>
              <w:t>Arbetsförmedlingen</w:t>
            </w:r>
          </w:p>
          <w:p w:rsidR="007E09DF" w:rsidRDefault="00DA5164" w:rsidP="00587EE8">
            <w:pPr>
              <w:tabs>
                <w:tab w:val="left" w:pos="3210"/>
              </w:tabs>
              <w:rPr>
                <w:rFonts w:ascii="Arial" w:hAnsi="Arial" w:cs="Arial"/>
                <w:b/>
                <w:sz w:val="24"/>
                <w:szCs w:val="24"/>
              </w:rPr>
            </w:pPr>
            <w:r>
              <w:rPr>
                <w:rFonts w:ascii="Arial" w:hAnsi="Arial" w:cs="Arial"/>
                <w:b/>
                <w:sz w:val="24"/>
                <w:szCs w:val="24"/>
              </w:rPr>
              <w:t>b</w:t>
            </w:r>
            <w:r w:rsidR="007E09DF">
              <w:rPr>
                <w:rFonts w:ascii="Arial" w:hAnsi="Arial" w:cs="Arial"/>
                <w:b/>
                <w:sz w:val="24"/>
                <w:szCs w:val="24"/>
              </w:rPr>
              <w:t>egär</w:t>
            </w:r>
          </w:p>
          <w:p w:rsidR="002A6003" w:rsidRPr="002A6003" w:rsidRDefault="002A6003" w:rsidP="00587EE8">
            <w:pPr>
              <w:tabs>
                <w:tab w:val="left" w:pos="3210"/>
              </w:tabs>
              <w:rPr>
                <w:rFonts w:ascii="Arial" w:hAnsi="Arial" w:cs="Arial"/>
                <w:sz w:val="24"/>
                <w:szCs w:val="24"/>
              </w:rPr>
            </w:pPr>
          </w:p>
        </w:tc>
        <w:tc>
          <w:tcPr>
            <w:tcW w:w="6466" w:type="dxa"/>
          </w:tcPr>
          <w:p w:rsidR="008C1E10" w:rsidRPr="00006249" w:rsidRDefault="008C1E10" w:rsidP="007E09DF">
            <w:r w:rsidRPr="00006249">
              <w:t xml:space="preserve">I det medicinska utlåtandet från AF står att vården ersätts med faktisk kostnad och det innebär enligt Sveriges kommuner och regioner, SKR, att vi fakturerar AF enligt timtaxan i Gula Taxan + moms. Som tidigare ska inte vårdenheten ta intygsuppdrag från Arbetsförmedlingen utan i förväg ha </w:t>
            </w:r>
            <w:r w:rsidR="002C191A" w:rsidRPr="00006249">
              <w:t>erhållit en skriftlig förfråga</w:t>
            </w:r>
            <w:r w:rsidRPr="00006249">
              <w:t xml:space="preserve"> för medicinsk utlåtande</w:t>
            </w:r>
            <w:r w:rsidR="002C191A" w:rsidRPr="00006249">
              <w:t xml:space="preserve"> från Arbetsförmedlingen.</w:t>
            </w:r>
          </w:p>
          <w:p w:rsidR="002A6003" w:rsidRPr="008C1E10" w:rsidRDefault="00582217" w:rsidP="007E09DF">
            <w:hyperlink r:id="rId8" w:history="1">
              <w:r w:rsidR="002A6003" w:rsidRPr="008C1E10">
                <w:rPr>
                  <w:rStyle w:val="Hyperlnk"/>
                  <w:color w:val="auto"/>
                </w:rPr>
                <w:t>https://www.arbetsformedlingen.se/Halso--och-sjukvarden/Medicinskt-utlatande.html</w:t>
              </w:r>
            </w:hyperlink>
            <w:r w:rsidR="002A6003" w:rsidRPr="008C1E10">
              <w:t xml:space="preserve"> </w:t>
            </w:r>
          </w:p>
          <w:p w:rsidR="007E09DF" w:rsidRPr="008C1E10" w:rsidRDefault="007E09DF" w:rsidP="00BB3411">
            <w:pPr>
              <w:rPr>
                <w:color w:val="FF0000"/>
              </w:rPr>
            </w:pPr>
          </w:p>
        </w:tc>
      </w:tr>
      <w:tr w:rsidR="00E0698F" w:rsidTr="00BB3411">
        <w:tc>
          <w:tcPr>
            <w:tcW w:w="0" w:type="auto"/>
          </w:tcPr>
          <w:p w:rsidR="00E0698F" w:rsidRPr="00E61229" w:rsidRDefault="00DA5164" w:rsidP="00587EE8">
            <w:pPr>
              <w:tabs>
                <w:tab w:val="left" w:pos="3210"/>
              </w:tabs>
              <w:rPr>
                <w:rFonts w:ascii="Arial" w:hAnsi="Arial" w:cs="Arial"/>
                <w:b/>
                <w:i/>
                <w:sz w:val="24"/>
                <w:szCs w:val="24"/>
              </w:rPr>
            </w:pPr>
            <w:r w:rsidRPr="00DA5164">
              <w:rPr>
                <w:rFonts w:ascii="Arial" w:hAnsi="Arial" w:cs="Arial"/>
                <w:b/>
                <w:sz w:val="24"/>
                <w:szCs w:val="24"/>
              </w:rPr>
              <w:t>Läkarintyg till Arbetsförmedlingen</w:t>
            </w:r>
            <w:r>
              <w:rPr>
                <w:rFonts w:ascii="Arial" w:hAnsi="Arial" w:cs="Arial"/>
                <w:b/>
                <w:i/>
                <w:sz w:val="24"/>
                <w:szCs w:val="24"/>
              </w:rPr>
              <w:t>.</w:t>
            </w:r>
          </w:p>
        </w:tc>
        <w:tc>
          <w:tcPr>
            <w:tcW w:w="6466" w:type="dxa"/>
          </w:tcPr>
          <w:p w:rsidR="00E61229" w:rsidRPr="00E61229" w:rsidRDefault="00E61229" w:rsidP="00E61229">
            <w:pPr>
              <w:pStyle w:val="Pa1"/>
              <w:rPr>
                <w:rFonts w:asciiTheme="minorHAnsi" w:hAnsiTheme="minorHAnsi" w:cstheme="minorHAnsi"/>
                <w:i/>
                <w:color w:val="000000"/>
                <w:sz w:val="21"/>
                <w:szCs w:val="21"/>
              </w:rPr>
            </w:pPr>
            <w:r w:rsidRPr="00E61229">
              <w:rPr>
                <w:rStyle w:val="A2"/>
                <w:rFonts w:asciiTheme="minorHAnsi" w:hAnsiTheme="minorHAnsi" w:cstheme="minorHAnsi"/>
                <w:i/>
              </w:rPr>
              <w:t>Läkarintyget gäller endast för patienter som deltar i ett program på Arbetsförmedlingen med ersättning i form av aktivitetsstöd, utvecklings</w:t>
            </w:r>
            <w:r w:rsidRPr="00E61229">
              <w:rPr>
                <w:rStyle w:val="A2"/>
                <w:rFonts w:asciiTheme="minorHAnsi" w:hAnsiTheme="minorHAnsi" w:cstheme="minorHAnsi"/>
                <w:i/>
              </w:rPr>
              <w:softHyphen/>
              <w:t xml:space="preserve">ersättning eller etableringsersättning. </w:t>
            </w:r>
          </w:p>
          <w:p w:rsidR="00E0698F" w:rsidRPr="00E61229" w:rsidRDefault="00E61229" w:rsidP="00E61229">
            <w:pPr>
              <w:rPr>
                <w:rStyle w:val="A2"/>
                <w:rFonts w:cstheme="minorHAnsi"/>
                <w:i/>
              </w:rPr>
            </w:pPr>
            <w:r w:rsidRPr="00E61229">
              <w:rPr>
                <w:rStyle w:val="A2"/>
                <w:rFonts w:cstheme="minorHAnsi"/>
                <w:i/>
              </w:rPr>
              <w:lastRenderedPageBreak/>
              <w:t>Det behövs efter sjunde sjukfrånvarodagenför att intyga att patienten är förhindrad att delta i programmet och för att patienten ska kunna fortsätta få ersättning under sjukfrånvaron.</w:t>
            </w:r>
          </w:p>
          <w:p w:rsidR="00E61229" w:rsidRPr="00E61229" w:rsidRDefault="00E61229" w:rsidP="00E61229">
            <w:pPr>
              <w:pStyle w:val="Pa1"/>
              <w:rPr>
                <w:rFonts w:asciiTheme="minorHAnsi" w:hAnsiTheme="minorHAnsi" w:cstheme="minorHAnsi"/>
                <w:i/>
                <w:color w:val="000000"/>
                <w:sz w:val="21"/>
                <w:szCs w:val="21"/>
              </w:rPr>
            </w:pPr>
            <w:r w:rsidRPr="00E61229">
              <w:rPr>
                <w:rStyle w:val="A2"/>
                <w:rFonts w:asciiTheme="minorHAnsi" w:hAnsiTheme="minorHAnsi" w:cstheme="minorHAnsi"/>
                <w:b/>
                <w:bCs/>
                <w:i/>
              </w:rPr>
              <w:t xml:space="preserve">Hämta intyget på </w:t>
            </w:r>
            <w:hyperlink r:id="rId9" w:history="1">
              <w:r w:rsidRPr="00E61229">
                <w:rPr>
                  <w:rStyle w:val="Hyperlnk"/>
                  <w:rFonts w:asciiTheme="minorHAnsi" w:hAnsiTheme="minorHAnsi" w:cstheme="minorHAnsi"/>
                  <w:i/>
                  <w:sz w:val="21"/>
                  <w:szCs w:val="21"/>
                </w:rPr>
                <w:t>www.arbetsformedlingen.se/lakarintyg</w:t>
              </w:r>
            </w:hyperlink>
            <w:r w:rsidRPr="00E61229">
              <w:rPr>
                <w:rStyle w:val="A2"/>
                <w:rFonts w:asciiTheme="minorHAnsi" w:hAnsiTheme="minorHAnsi" w:cstheme="minorHAnsi"/>
                <w:i/>
              </w:rPr>
              <w:t xml:space="preserve"> </w:t>
            </w:r>
          </w:p>
          <w:p w:rsidR="00E61229" w:rsidRPr="00E61229" w:rsidRDefault="00E61229" w:rsidP="00E61229">
            <w:pPr>
              <w:rPr>
                <w:i/>
              </w:rPr>
            </w:pPr>
            <w:r w:rsidRPr="00E61229">
              <w:rPr>
                <w:i/>
              </w:rPr>
              <w:t>Är avgiftsfritt men vanlig patientavgift tas ut av patient om undersökning behövs för intygets utfärdande.</w:t>
            </w:r>
          </w:p>
        </w:tc>
      </w:tr>
      <w:tr w:rsidR="002C5133" w:rsidTr="00BB3411">
        <w:tc>
          <w:tcPr>
            <w:tcW w:w="0" w:type="auto"/>
          </w:tcPr>
          <w:p w:rsidR="002C5133" w:rsidRPr="002C5133" w:rsidRDefault="002C5133" w:rsidP="00587EE8">
            <w:pPr>
              <w:tabs>
                <w:tab w:val="left" w:pos="3210"/>
              </w:tabs>
              <w:rPr>
                <w:rFonts w:ascii="Arial" w:hAnsi="Arial" w:cs="Arial"/>
                <w:b/>
                <w:sz w:val="24"/>
                <w:szCs w:val="24"/>
              </w:rPr>
            </w:pPr>
            <w:r>
              <w:rPr>
                <w:rFonts w:ascii="Arial" w:hAnsi="Arial" w:cs="Arial"/>
                <w:b/>
                <w:sz w:val="24"/>
                <w:szCs w:val="24"/>
              </w:rPr>
              <w:lastRenderedPageBreak/>
              <w:t>Intyg till skola ang. barn tom den dagen de fyller 20 år</w:t>
            </w:r>
          </w:p>
        </w:tc>
        <w:tc>
          <w:tcPr>
            <w:tcW w:w="6466" w:type="dxa"/>
          </w:tcPr>
          <w:p w:rsidR="002C5133" w:rsidRDefault="002C5133" w:rsidP="002C5133">
            <w:r>
              <w:t>Avgiftsfritt</w:t>
            </w:r>
          </w:p>
          <w:p w:rsidR="002A6003" w:rsidRDefault="002A6003" w:rsidP="002C5133">
            <w:r>
              <w:t>(Vi avser sjukintyg för ev. behov av studieuppehåll</w:t>
            </w:r>
          </w:p>
          <w:p w:rsidR="002C5133" w:rsidRDefault="002C5133" w:rsidP="002C5133"/>
        </w:tc>
      </w:tr>
      <w:tr w:rsidR="002C5133" w:rsidTr="00BB3411">
        <w:tc>
          <w:tcPr>
            <w:tcW w:w="0" w:type="auto"/>
          </w:tcPr>
          <w:p w:rsidR="002C5133" w:rsidRDefault="00C540E4" w:rsidP="00587EE8">
            <w:pPr>
              <w:tabs>
                <w:tab w:val="left" w:pos="3210"/>
              </w:tabs>
              <w:rPr>
                <w:rFonts w:ascii="Arial" w:hAnsi="Arial" w:cs="Arial"/>
                <w:b/>
                <w:sz w:val="24"/>
                <w:szCs w:val="24"/>
              </w:rPr>
            </w:pPr>
            <w:r>
              <w:rPr>
                <w:rFonts w:ascii="Arial" w:hAnsi="Arial" w:cs="Arial"/>
                <w:b/>
                <w:sz w:val="24"/>
                <w:szCs w:val="24"/>
              </w:rPr>
              <w:t>Intyg för unga vuxna och äldre som studerar</w:t>
            </w:r>
          </w:p>
          <w:p w:rsidR="00C540E4" w:rsidRDefault="00C540E4" w:rsidP="00587EE8">
            <w:pPr>
              <w:tabs>
                <w:tab w:val="left" w:pos="3210"/>
              </w:tabs>
              <w:rPr>
                <w:rFonts w:ascii="Arial" w:hAnsi="Arial" w:cs="Arial"/>
                <w:b/>
                <w:sz w:val="24"/>
                <w:szCs w:val="24"/>
              </w:rPr>
            </w:pPr>
            <w:r>
              <w:rPr>
                <w:rFonts w:ascii="Arial" w:hAnsi="Arial" w:cs="Arial"/>
                <w:b/>
                <w:sz w:val="24"/>
                <w:szCs w:val="24"/>
              </w:rPr>
              <w:t>enligt grupptaxa 2</w:t>
            </w:r>
          </w:p>
        </w:tc>
        <w:tc>
          <w:tcPr>
            <w:tcW w:w="6466" w:type="dxa"/>
          </w:tcPr>
          <w:p w:rsidR="008C1E10" w:rsidRPr="002C191A" w:rsidRDefault="00A70A3D" w:rsidP="008C1E10">
            <w:r w:rsidRPr="002C191A">
              <w:t>Prislistan ändras varje år</w:t>
            </w:r>
            <w:r w:rsidR="008C1E10" w:rsidRPr="002C191A">
              <w:t>. Avgiften är enligt grupptaxa 2 i Gula taxan, åtgärd 270.</w:t>
            </w:r>
          </w:p>
          <w:p w:rsidR="002C5133" w:rsidRPr="008C1E10" w:rsidRDefault="008C1E10" w:rsidP="008C1E10">
            <w:pPr>
              <w:rPr>
                <w:color w:val="FF0000"/>
              </w:rPr>
            </w:pPr>
            <w:r w:rsidRPr="002C191A">
              <w:t>År 2021 = 220 kr</w:t>
            </w:r>
          </w:p>
        </w:tc>
      </w:tr>
    </w:tbl>
    <w:p w:rsidR="00587EE8" w:rsidRDefault="00587EE8" w:rsidP="00E50814">
      <w:pPr>
        <w:tabs>
          <w:tab w:val="left" w:pos="3210"/>
        </w:tabs>
        <w:rPr>
          <w:rFonts w:ascii="Arial" w:hAnsi="Arial" w:cs="Arial"/>
          <w:b/>
          <w:i/>
          <w:sz w:val="28"/>
          <w:szCs w:val="28"/>
        </w:rPr>
      </w:pPr>
    </w:p>
    <w:p w:rsidR="00695022" w:rsidRPr="00A70A3D" w:rsidRDefault="00695022" w:rsidP="00E50814">
      <w:pPr>
        <w:tabs>
          <w:tab w:val="left" w:pos="3210"/>
        </w:tabs>
        <w:rPr>
          <w:rFonts w:ascii="Arial" w:hAnsi="Arial" w:cs="Arial"/>
          <w:b/>
          <w:color w:val="FF0000"/>
          <w:sz w:val="28"/>
          <w:szCs w:val="28"/>
        </w:rPr>
      </w:pPr>
      <w:r w:rsidRPr="00695022">
        <w:rPr>
          <w:rFonts w:ascii="Arial" w:hAnsi="Arial" w:cs="Arial"/>
          <w:b/>
          <w:sz w:val="28"/>
          <w:szCs w:val="28"/>
        </w:rPr>
        <w:t>Grupptaxor enligt Gula taxan</w:t>
      </w:r>
      <w:r w:rsidRPr="002C191A">
        <w:rPr>
          <w:rFonts w:ascii="Arial" w:hAnsi="Arial" w:cs="Arial"/>
          <w:b/>
          <w:sz w:val="28"/>
          <w:szCs w:val="28"/>
        </w:rPr>
        <w:t xml:space="preserve"> </w:t>
      </w:r>
      <w:r w:rsidR="00A70A3D" w:rsidRPr="002C191A">
        <w:rPr>
          <w:rFonts w:ascii="Arial" w:hAnsi="Arial" w:cs="Arial"/>
          <w:b/>
          <w:sz w:val="28"/>
          <w:szCs w:val="28"/>
        </w:rPr>
        <w:t>2021</w:t>
      </w:r>
    </w:p>
    <w:p w:rsidR="008C6A88" w:rsidRPr="008C6A88" w:rsidRDefault="008C6A88" w:rsidP="008C6A88">
      <w:pPr>
        <w:pStyle w:val="Normalwebb"/>
        <w:rPr>
          <w:rFonts w:ascii="Arial" w:hAnsi="Arial" w:cs="Arial"/>
        </w:rPr>
      </w:pPr>
      <w:r w:rsidRPr="008C6A88">
        <w:rPr>
          <w:rFonts w:ascii="Arial" w:hAnsi="Arial" w:cs="Arial"/>
        </w:rPr>
        <w:t xml:space="preserve">För vård - hälsovård som inte har samband med sjukdom eller förlossning betalar patienten den faktiska kostnaden för åtgärden.  </w:t>
      </w:r>
    </w:p>
    <w:p w:rsidR="008C6A88" w:rsidRPr="008C6A88" w:rsidRDefault="008C6A88" w:rsidP="008C6A88">
      <w:pPr>
        <w:pStyle w:val="Normalwebb"/>
        <w:rPr>
          <w:rFonts w:ascii="Arial" w:hAnsi="Arial" w:cs="Arial"/>
        </w:rPr>
      </w:pPr>
      <w:r w:rsidRPr="008C6A88">
        <w:rPr>
          <w:rFonts w:ascii="Arial" w:hAnsi="Arial" w:cs="Arial"/>
        </w:rPr>
        <w:t xml:space="preserve">För detta finns en särskild taxa, Gula Taxan.  </w:t>
      </w:r>
    </w:p>
    <w:p w:rsidR="002A6003" w:rsidRPr="008C6A88" w:rsidRDefault="008C6A88" w:rsidP="008C6A88">
      <w:pPr>
        <w:pStyle w:val="Normalwebb"/>
        <w:rPr>
          <w:rFonts w:ascii="Arial" w:hAnsi="Arial" w:cs="Arial"/>
        </w:rPr>
      </w:pPr>
      <w:r w:rsidRPr="008C6A88">
        <w:rPr>
          <w:rFonts w:ascii="Arial" w:hAnsi="Arial" w:cs="Arial"/>
        </w:rPr>
        <w:t xml:space="preserve">Den innehåller avgifter för hälsoundersökningar/medicinsk service, intyg, och vaccinationer. </w:t>
      </w:r>
    </w:p>
    <w:p w:rsidR="00695022" w:rsidRDefault="00582217" w:rsidP="00E50814">
      <w:pPr>
        <w:tabs>
          <w:tab w:val="left" w:pos="3210"/>
        </w:tabs>
        <w:rPr>
          <w:rFonts w:ascii="Arial" w:hAnsi="Arial" w:cs="Arial"/>
          <w:b/>
          <w:i/>
          <w:sz w:val="28"/>
          <w:szCs w:val="28"/>
        </w:rPr>
      </w:pPr>
      <w:hyperlink r:id="rId10" w:history="1">
        <w:r w:rsidR="00770FFD" w:rsidRPr="00770FFD">
          <w:rPr>
            <w:rStyle w:val="Hyperlnk"/>
            <w:rFonts w:ascii="Arial" w:hAnsi="Arial" w:cs="Arial"/>
            <w:b/>
            <w:i/>
            <w:sz w:val="28"/>
            <w:szCs w:val="28"/>
          </w:rPr>
          <w:t>Hälsovård Gula Taxan</w:t>
        </w:r>
      </w:hyperlink>
    </w:p>
    <w:p w:rsidR="00695022" w:rsidRDefault="00695022" w:rsidP="00E50814">
      <w:pPr>
        <w:tabs>
          <w:tab w:val="left" w:pos="3210"/>
        </w:tabs>
        <w:rPr>
          <w:rFonts w:ascii="Arial" w:hAnsi="Arial" w:cs="Arial"/>
          <w:sz w:val="28"/>
          <w:szCs w:val="28"/>
        </w:rPr>
      </w:pPr>
    </w:p>
    <w:p w:rsidR="007A1F1F" w:rsidRPr="008C6A88" w:rsidRDefault="007A1F1F" w:rsidP="00E50814">
      <w:pPr>
        <w:tabs>
          <w:tab w:val="left" w:pos="3210"/>
        </w:tabs>
        <w:rPr>
          <w:rFonts w:ascii="Arial" w:hAnsi="Arial" w:cs="Arial"/>
          <w:sz w:val="24"/>
          <w:szCs w:val="24"/>
        </w:rPr>
      </w:pPr>
      <w:r w:rsidRPr="008C6A88">
        <w:rPr>
          <w:rFonts w:ascii="Arial" w:hAnsi="Arial" w:cs="Arial"/>
          <w:sz w:val="24"/>
          <w:szCs w:val="24"/>
        </w:rPr>
        <w:t>Se vidare information i avgiftshandboken på vårdgivarwebben</w:t>
      </w:r>
    </w:p>
    <w:p w:rsidR="007A1F1F" w:rsidRPr="007A1F1F" w:rsidRDefault="00582217" w:rsidP="00E50814">
      <w:pPr>
        <w:tabs>
          <w:tab w:val="left" w:pos="3210"/>
        </w:tabs>
        <w:rPr>
          <w:rFonts w:ascii="Arial" w:hAnsi="Arial" w:cs="Arial"/>
          <w:sz w:val="24"/>
          <w:szCs w:val="24"/>
        </w:rPr>
      </w:pPr>
      <w:hyperlink r:id="rId11" w:history="1">
        <w:r w:rsidR="007A1F1F" w:rsidRPr="007A1F1F">
          <w:rPr>
            <w:rStyle w:val="Hyperlnk"/>
            <w:rFonts w:ascii="Arial" w:hAnsi="Arial" w:cs="Arial"/>
            <w:sz w:val="24"/>
            <w:szCs w:val="24"/>
          </w:rPr>
          <w:t>https://vardgivare.regionhalland.se/patientadministration/avgiftshandboken/</w:t>
        </w:r>
      </w:hyperlink>
      <w:r w:rsidR="007A1F1F" w:rsidRPr="007A1F1F">
        <w:rPr>
          <w:rFonts w:ascii="Arial" w:hAnsi="Arial" w:cs="Arial"/>
          <w:sz w:val="24"/>
          <w:szCs w:val="24"/>
        </w:rPr>
        <w:t xml:space="preserve"> </w:t>
      </w:r>
    </w:p>
    <w:sectPr w:rsidR="007A1F1F" w:rsidRPr="007A1F1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217" w:rsidRDefault="00582217" w:rsidP="008C6A88">
      <w:pPr>
        <w:spacing w:after="0" w:line="240" w:lineRule="auto"/>
      </w:pPr>
      <w:r>
        <w:separator/>
      </w:r>
    </w:p>
  </w:endnote>
  <w:endnote w:type="continuationSeparator" w:id="0">
    <w:p w:rsidR="00582217" w:rsidRDefault="00582217" w:rsidP="008C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80688"/>
      <w:docPartObj>
        <w:docPartGallery w:val="Page Numbers (Bottom of Page)"/>
        <w:docPartUnique/>
      </w:docPartObj>
    </w:sdtPr>
    <w:sdtEndPr/>
    <w:sdtContent>
      <w:p w:rsidR="008C6A88" w:rsidRDefault="008C6A88">
        <w:pPr>
          <w:pStyle w:val="Sidfot"/>
          <w:jc w:val="right"/>
        </w:pPr>
        <w:r>
          <w:fldChar w:fldCharType="begin"/>
        </w:r>
        <w:r>
          <w:instrText>PAGE   \* MERGEFORMAT</w:instrText>
        </w:r>
        <w:r>
          <w:fldChar w:fldCharType="separate"/>
        </w:r>
        <w:r w:rsidR="00915699">
          <w:rPr>
            <w:noProof/>
          </w:rPr>
          <w:t>3</w:t>
        </w:r>
        <w:r>
          <w:fldChar w:fldCharType="end"/>
        </w:r>
      </w:p>
    </w:sdtContent>
  </w:sdt>
  <w:p w:rsidR="008C6A88" w:rsidRDefault="008C6A8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217" w:rsidRDefault="00582217" w:rsidP="008C6A88">
      <w:pPr>
        <w:spacing w:after="0" w:line="240" w:lineRule="auto"/>
      </w:pPr>
      <w:r>
        <w:separator/>
      </w:r>
    </w:p>
  </w:footnote>
  <w:footnote w:type="continuationSeparator" w:id="0">
    <w:p w:rsidR="00582217" w:rsidRDefault="00582217" w:rsidP="008C6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46399"/>
    <w:multiLevelType w:val="hybridMultilevel"/>
    <w:tmpl w:val="8980565A"/>
    <w:lvl w:ilvl="0" w:tplc="F47CFB2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C1"/>
    <w:rsid w:val="00006249"/>
    <w:rsid w:val="00125BBB"/>
    <w:rsid w:val="001A414F"/>
    <w:rsid w:val="002A6003"/>
    <w:rsid w:val="002C191A"/>
    <w:rsid w:val="002C5133"/>
    <w:rsid w:val="003F23CE"/>
    <w:rsid w:val="00432584"/>
    <w:rsid w:val="004E673D"/>
    <w:rsid w:val="00582217"/>
    <w:rsid w:val="00587EE8"/>
    <w:rsid w:val="00593500"/>
    <w:rsid w:val="005E7B3B"/>
    <w:rsid w:val="006538EA"/>
    <w:rsid w:val="00695022"/>
    <w:rsid w:val="006B0CC1"/>
    <w:rsid w:val="006F159F"/>
    <w:rsid w:val="00770FFD"/>
    <w:rsid w:val="007A1F1F"/>
    <w:rsid w:val="007E09DF"/>
    <w:rsid w:val="008C1E10"/>
    <w:rsid w:val="008C54C0"/>
    <w:rsid w:val="008C6A88"/>
    <w:rsid w:val="008F1EE1"/>
    <w:rsid w:val="009148A7"/>
    <w:rsid w:val="00915699"/>
    <w:rsid w:val="009A3356"/>
    <w:rsid w:val="009B2EDA"/>
    <w:rsid w:val="00A44088"/>
    <w:rsid w:val="00A70A3D"/>
    <w:rsid w:val="00AD0D10"/>
    <w:rsid w:val="00BB3411"/>
    <w:rsid w:val="00C540E4"/>
    <w:rsid w:val="00D0197F"/>
    <w:rsid w:val="00D11AE2"/>
    <w:rsid w:val="00DA5164"/>
    <w:rsid w:val="00DD76EC"/>
    <w:rsid w:val="00E0698F"/>
    <w:rsid w:val="00E50814"/>
    <w:rsid w:val="00E61229"/>
    <w:rsid w:val="00E61972"/>
    <w:rsid w:val="00F63D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0BCB6"/>
  <w15:chartTrackingRefBased/>
  <w15:docId w15:val="{2188E955-E838-4E95-AA3E-27952EEB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3">
    <w:name w:val="heading 3"/>
    <w:basedOn w:val="Normal"/>
    <w:next w:val="Normal"/>
    <w:link w:val="Rubrik3Char"/>
    <w:qFormat/>
    <w:rsid w:val="006B0CC1"/>
    <w:pPr>
      <w:keepNext/>
      <w:spacing w:after="0" w:line="276" w:lineRule="auto"/>
      <w:outlineLvl w:val="2"/>
    </w:pPr>
    <w:rPr>
      <w:rFonts w:ascii="Arial" w:eastAsia="Times New Roman" w:hAnsi="Arial" w:cs="Arial"/>
      <w:b/>
      <w:bCs/>
      <w:sz w:val="24"/>
      <w:szCs w:val="2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rsid w:val="006B0CC1"/>
    <w:rPr>
      <w:rFonts w:ascii="Arial" w:eastAsia="Times New Roman" w:hAnsi="Arial" w:cs="Arial"/>
      <w:b/>
      <w:bCs/>
      <w:sz w:val="24"/>
      <w:szCs w:val="26"/>
      <w:lang w:eastAsia="sv-SE"/>
    </w:rPr>
  </w:style>
  <w:style w:type="paragraph" w:styleId="Sidhuvud">
    <w:name w:val="header"/>
    <w:basedOn w:val="Normal"/>
    <w:link w:val="SidhuvudChar"/>
    <w:uiPriority w:val="99"/>
    <w:unhideWhenUsed/>
    <w:rsid w:val="006B0CC1"/>
    <w:pPr>
      <w:tabs>
        <w:tab w:val="center" w:pos="4536"/>
        <w:tab w:val="left" w:pos="5046"/>
        <w:tab w:val="left" w:pos="7598"/>
        <w:tab w:val="right" w:pos="9072"/>
      </w:tabs>
      <w:spacing w:after="0" w:line="276" w:lineRule="auto"/>
    </w:pPr>
    <w:rPr>
      <w:rFonts w:ascii="Arial" w:eastAsia="Times New Roman" w:hAnsi="Arial" w:cs="Times New Roman"/>
      <w:sz w:val="24"/>
      <w:szCs w:val="26"/>
      <w:lang w:eastAsia="sv-SE"/>
    </w:rPr>
  </w:style>
  <w:style w:type="character" w:customStyle="1" w:styleId="SidhuvudChar">
    <w:name w:val="Sidhuvud Char"/>
    <w:basedOn w:val="Standardstycketeckensnitt"/>
    <w:link w:val="Sidhuvud"/>
    <w:uiPriority w:val="99"/>
    <w:rsid w:val="006B0CC1"/>
    <w:rPr>
      <w:rFonts w:ascii="Arial" w:eastAsia="Times New Roman" w:hAnsi="Arial" w:cs="Times New Roman"/>
      <w:sz w:val="24"/>
      <w:szCs w:val="26"/>
      <w:lang w:eastAsia="sv-SE"/>
    </w:rPr>
  </w:style>
  <w:style w:type="table" w:styleId="Tabellrutnt">
    <w:name w:val="Table Grid"/>
    <w:basedOn w:val="Normaltabell"/>
    <w:uiPriority w:val="39"/>
    <w:rsid w:val="00587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1229"/>
    <w:pPr>
      <w:autoSpaceDE w:val="0"/>
      <w:autoSpaceDN w:val="0"/>
      <w:adjustRightInd w:val="0"/>
      <w:spacing w:after="0" w:line="240" w:lineRule="auto"/>
    </w:pPr>
    <w:rPr>
      <w:rFonts w:ascii="Georgia" w:hAnsi="Georgia" w:cs="Georgia"/>
      <w:color w:val="000000"/>
      <w:sz w:val="24"/>
      <w:szCs w:val="24"/>
    </w:rPr>
  </w:style>
  <w:style w:type="paragraph" w:customStyle="1" w:styleId="Pa1">
    <w:name w:val="Pa1"/>
    <w:basedOn w:val="Default"/>
    <w:next w:val="Default"/>
    <w:uiPriority w:val="99"/>
    <w:rsid w:val="00E61229"/>
    <w:pPr>
      <w:spacing w:line="241" w:lineRule="atLeast"/>
    </w:pPr>
    <w:rPr>
      <w:rFonts w:cstheme="minorBidi"/>
      <w:color w:val="auto"/>
    </w:rPr>
  </w:style>
  <w:style w:type="character" w:customStyle="1" w:styleId="A2">
    <w:name w:val="A2"/>
    <w:uiPriority w:val="99"/>
    <w:rsid w:val="00E61229"/>
    <w:rPr>
      <w:rFonts w:cs="Georgia"/>
      <w:color w:val="000000"/>
      <w:sz w:val="21"/>
      <w:szCs w:val="21"/>
    </w:rPr>
  </w:style>
  <w:style w:type="character" w:styleId="Hyperlnk">
    <w:name w:val="Hyperlink"/>
    <w:basedOn w:val="Standardstycketeckensnitt"/>
    <w:uiPriority w:val="99"/>
    <w:unhideWhenUsed/>
    <w:rsid w:val="00E61229"/>
    <w:rPr>
      <w:color w:val="0563C1" w:themeColor="hyperlink"/>
      <w:u w:val="single"/>
    </w:rPr>
  </w:style>
  <w:style w:type="paragraph" w:styleId="Liststycke">
    <w:name w:val="List Paragraph"/>
    <w:basedOn w:val="Normal"/>
    <w:uiPriority w:val="34"/>
    <w:qFormat/>
    <w:rsid w:val="00695022"/>
    <w:pPr>
      <w:ind w:left="720"/>
      <w:contextualSpacing/>
    </w:pPr>
  </w:style>
  <w:style w:type="character" w:styleId="AnvndHyperlnk">
    <w:name w:val="FollowedHyperlink"/>
    <w:basedOn w:val="Standardstycketeckensnitt"/>
    <w:uiPriority w:val="99"/>
    <w:semiHidden/>
    <w:unhideWhenUsed/>
    <w:rsid w:val="002A6003"/>
    <w:rPr>
      <w:color w:val="954F72" w:themeColor="followedHyperlink"/>
      <w:u w:val="single"/>
    </w:rPr>
  </w:style>
  <w:style w:type="paragraph" w:styleId="Normalwebb">
    <w:name w:val="Normal (Web)"/>
    <w:basedOn w:val="Normal"/>
    <w:uiPriority w:val="99"/>
    <w:unhideWhenUsed/>
    <w:rsid w:val="008C6A8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8C6A8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6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betsformedlingen.se/Halso--och-sjukvarden/Medicinskt-utlatand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ardgivare.regionhalland.se/patientadministration/avgiftshandboken/" TargetMode="External"/><Relationship Id="rId5" Type="http://schemas.openxmlformats.org/officeDocument/2006/relationships/footnotes" Target="footnotes.xml"/><Relationship Id="rId10" Type="http://schemas.openxmlformats.org/officeDocument/2006/relationships/hyperlink" Target="https://intra.regionhalland.se/styrda-dokument/_layouts/RHWordViewer.aspx?id=/styrda-dokument/PublishingRepository/65736944-fead-4572-a94d-c5e73967bc2a/H%C3%A4lsov%C3%A5rd%20Gula%20Taxan.docx&amp;Source=https://intra.regionhalland.se/styrda-dokument/_layouts/RHI_CDViewer.aspx?OWAStatus=0&amp;DefaultItemOpen=1" TargetMode="External"/><Relationship Id="rId4" Type="http://schemas.openxmlformats.org/officeDocument/2006/relationships/webSettings" Target="webSettings.xml"/><Relationship Id="rId9" Type="http://schemas.openxmlformats.org/officeDocument/2006/relationships/hyperlink" Target="http://www.arbetsformedlingen.se/lakarintyg"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5486</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
    </vt:vector>
  </TitlesOfParts>
  <Company>Region Halland</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Larborn Katarina RK HÄLSO- OCH SJUKVÅRD</dc:creator>
  <cp:keywords/>
  <dc:description/>
  <cp:lastModifiedBy>Lindh Frida RK HÄLSO- OCH SJUKVÅRD</cp:lastModifiedBy>
  <cp:revision>3</cp:revision>
  <dcterms:created xsi:type="dcterms:W3CDTF">2021-06-16T13:12:00Z</dcterms:created>
  <dcterms:modified xsi:type="dcterms:W3CDTF">2021-06-16T13:12:00Z</dcterms:modified>
</cp:coreProperties>
</file>