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23" w:rsidRDefault="002F13E2" w:rsidP="008D6A9E">
      <w:pPr>
        <w:pStyle w:val="Rubrik"/>
      </w:pPr>
      <w:r>
        <w:t xml:space="preserve">Lifecare </w:t>
      </w:r>
      <w:r w:rsidR="00007CDA">
        <w:t xml:space="preserve">SP </w:t>
      </w:r>
      <w:r>
        <w:t>som informationskanal mellan närsjukvård</w:t>
      </w:r>
      <w:r w:rsidR="00790353">
        <w:t>/psykiatrisk öppenvård</w:t>
      </w:r>
      <w:r w:rsidR="00591A26">
        <w:t>, specialistmottagning</w:t>
      </w:r>
      <w:r>
        <w:t xml:space="preserve"> och kommun</w:t>
      </w:r>
    </w:p>
    <w:p w:rsidR="008160E0" w:rsidRDefault="008160E0" w:rsidP="00EA3323">
      <w:pPr>
        <w:pBdr>
          <w:bottom w:val="single" w:sz="6" w:space="1" w:color="auto"/>
        </w:pBdr>
        <w:rPr>
          <w:b/>
        </w:rPr>
      </w:pPr>
      <w:bookmarkStart w:id="0" w:name="_Toc328994705"/>
      <w:bookmarkStart w:id="1" w:name="_Toc338760453"/>
      <w:bookmarkStart w:id="2" w:name="_Toc338760517"/>
    </w:p>
    <w:p w:rsidR="008160E0" w:rsidRDefault="008160E0" w:rsidP="00EA3323">
      <w:pPr>
        <w:rPr>
          <w:b/>
        </w:rPr>
      </w:pPr>
    </w:p>
    <w:p w:rsidR="008160E0" w:rsidRDefault="008160E0" w:rsidP="00EA3323">
      <w:pPr>
        <w:rPr>
          <w:b/>
        </w:rPr>
      </w:pPr>
      <w:r>
        <w:rPr>
          <w:b/>
        </w:rPr>
        <w:t>Hitta i dokumentet</w:t>
      </w:r>
    </w:p>
    <w:p w:rsidR="008160E0" w:rsidRDefault="008160E0" w:rsidP="00EA3323">
      <w:pPr>
        <w:rPr>
          <w:b/>
        </w:rPr>
      </w:pPr>
    </w:p>
    <w:p w:rsidR="008160E0" w:rsidRDefault="008160E0" w:rsidP="00EA3323">
      <w:pPr>
        <w:rPr>
          <w:b/>
        </w:rPr>
        <w:sectPr w:rsidR="008160E0" w:rsidSect="008D54E4">
          <w:headerReference w:type="even" r:id="rId11"/>
          <w:headerReference w:type="default" r:id="rId12"/>
          <w:headerReference w:type="first" r:id="rId13"/>
          <w:pgSz w:w="11906" w:h="16838" w:code="9"/>
          <w:pgMar w:top="1702" w:right="1418" w:bottom="1701" w:left="1418" w:header="250" w:footer="964" w:gutter="0"/>
          <w:cols w:space="720"/>
          <w:docGrid w:linePitch="299"/>
        </w:sectPr>
      </w:pPr>
    </w:p>
    <w:p w:rsidR="00CD2DA0" w:rsidRDefault="008160E0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anchor="_Toc447523744" w:history="1">
        <w:r w:rsidR="00CD2DA0" w:rsidRPr="003A38C7">
          <w:rPr>
            <w:rStyle w:val="Hyperlnk"/>
          </w:rPr>
          <w:t>Syfte</w:t>
        </w:r>
      </w:hyperlink>
    </w:p>
    <w:p w:rsidR="00CD2DA0" w:rsidRDefault="00CC6619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47523745" w:history="1">
        <w:r w:rsidR="00CD2DA0" w:rsidRPr="003A38C7">
          <w:rPr>
            <w:rStyle w:val="Hyperlnk"/>
          </w:rPr>
          <w:t>Bakgrund</w:t>
        </w:r>
      </w:hyperlink>
    </w:p>
    <w:p w:rsidR="00CD2DA0" w:rsidRDefault="00CC6619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47523746" w:history="1">
        <w:r w:rsidR="00CD2DA0" w:rsidRPr="003A38C7">
          <w:rPr>
            <w:rStyle w:val="Hyperlnk"/>
          </w:rPr>
          <w:t>Genomförande</w:t>
        </w:r>
      </w:hyperlink>
    </w:p>
    <w:p w:rsidR="00CD2DA0" w:rsidRDefault="00CC6619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47523748" w:history="1">
        <w:r w:rsidR="00CD2DA0" w:rsidRPr="003A38C7">
          <w:rPr>
            <w:rStyle w:val="Hyperlnk"/>
          </w:rPr>
          <w:t>Kommunikation</w:t>
        </w:r>
      </w:hyperlink>
    </w:p>
    <w:p w:rsidR="00CD2DA0" w:rsidRDefault="00CD2DA0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</w:p>
    <w:p w:rsidR="00CD2DA0" w:rsidRDefault="00CC6619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47523750" w:history="1">
        <w:r w:rsidR="00CD2DA0" w:rsidRPr="003A38C7">
          <w:rPr>
            <w:rStyle w:val="Hyperlnk"/>
          </w:rPr>
          <w:t>Relaterad till följande processer:</w:t>
        </w:r>
      </w:hyperlink>
    </w:p>
    <w:p w:rsidR="00CD2DA0" w:rsidRDefault="00CC6619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47523751" w:history="1">
        <w:r w:rsidR="00CD2DA0" w:rsidRPr="003A38C7">
          <w:rPr>
            <w:rStyle w:val="Hyperlnk"/>
          </w:rPr>
          <w:t>Bilagor:</w:t>
        </w:r>
      </w:hyperlink>
    </w:p>
    <w:p w:rsidR="00CD2DA0" w:rsidRDefault="00CD2DA0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</w:p>
    <w:p w:rsidR="008160E0" w:rsidRDefault="008160E0" w:rsidP="008160E0">
      <w:pPr>
        <w:pStyle w:val="Innehll1"/>
      </w:pPr>
      <w:r>
        <w:fldChar w:fldCharType="end"/>
      </w:r>
    </w:p>
    <w:p w:rsidR="008160E0" w:rsidRDefault="008160E0" w:rsidP="008160E0">
      <w:pPr>
        <w:sectPr w:rsidR="008160E0" w:rsidSect="008D54E4">
          <w:type w:val="continuous"/>
          <w:pgSz w:w="11906" w:h="16838" w:code="9"/>
          <w:pgMar w:top="1758" w:right="1418" w:bottom="1701" w:left="1418" w:header="250" w:footer="964" w:gutter="0"/>
          <w:cols w:num="2" w:sep="1" w:space="720"/>
          <w:docGrid w:linePitch="272"/>
        </w:sectPr>
      </w:pPr>
    </w:p>
    <w:p w:rsidR="004C5AED" w:rsidRPr="004C5AED" w:rsidRDefault="00EA3323" w:rsidP="00007CD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F7ACF" wp14:editId="3E074259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8E4B7" id="Rak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45pt" to="439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5xxwEAAPYDAAAOAAAAZHJzL2Uyb0RvYy54bWysU8Fu2zAMvQ/YPwi6L3Y6JNiMOD20aC/D&#10;FnTrB6gyFQuTREFSY+fvR8mJU7QDhg27yKbE98j3RG2uR2vYAULU6Fq+XNScgZPYabdv+eOPuw+f&#10;OItJuE4YdNDyI0R+vX3/bjP4Bq6wR9NBYETiYjP4lvcp+aaqouzBirhAD44OFQYrEoVhX3VBDMRu&#10;TXVV1+tqwND5gBJipN3b6ZBvC79SINM3pSIkZlpOvaWyhrI+5bXabkSzD8L3Wp7aEP/QhRXaUdGZ&#10;6lYkwZ6DfkNltQwYUaWFRFuhUlpC0UBqlvUrNd974aFoIXOin22K/49Wfj3sAtMd3R3Z44SlO3oQ&#10;PxlFZM3gY0MZN24XTlH0u5B1jirY/CUFbCx2Hmc7YUxM0uZqtf68+rjmTJ7PqgvQh5juAS3LPy03&#10;2mWlohGHLzFRMUo9p+Rt4/Ia0ejuThtTgjwjcGMCOwi63TQuc8uEe5FFUUZWWcjUevlLRwMT6wMo&#10;Uk/NLkv1MncXTiEluHTmNY6yM0xRBzOw/jPwlJ+hUGbyb8AzolRGl2aw1Q7D76pfrFBT/tmBSXe2&#10;4Am7Y7nUYg0NV3Hu9BDy9L6MC/zyXLe/AAAA//8DAFBLAwQUAAYACAAAACEACW4MLtsAAAAHAQAA&#10;DwAAAGRycy9kb3ducmV2LnhtbEyOwU7DMBBE70j8g7VI3KhDQCUNcSqE4IK4JPQANzfexhHxOo2d&#10;Jvw9izjAabQzo9lXbBfXixOOofOk4HqVgEBqvOmoVbB7e77KQISoyejeEyr4wgDb8vys0LnxM1V4&#10;qmMreIRCrhXYGIdcytBYdDqs/IDE2cGPTkc+x1aaUc887nqZJslaOt0Rf7B6wEeLzWc9OQUvx9ew&#10;u11XT9X7Mavnj8NkW49KXV4sD/cgIi7xrww/+IwOJTPt/UQmiF5BmnKRJdmA4Di729yA2P8asizk&#10;f/7yGwAA//8DAFBLAQItABQABgAIAAAAIQC2gziS/gAAAOEBAAATAAAAAAAAAAAAAAAAAAAAAABb&#10;Q29udGVudF9UeXBlc10ueG1sUEsBAi0AFAAGAAgAAAAhADj9If/WAAAAlAEAAAsAAAAAAAAAAAAA&#10;AAAALwEAAF9yZWxzLy5yZWxzUEsBAi0AFAAGAAgAAAAhAPqPznHHAQAA9gMAAA4AAAAAAAAAAAAA&#10;AAAALgIAAGRycy9lMm9Eb2MueG1sUEsBAi0AFAAGAAgAAAAhAAluDC7bAAAABwEAAA8AAAAAAAAA&#10;AAAAAAAAIQQAAGRycy9kb3ducmV2LnhtbFBLBQYAAAAABAAEAPMAAAApBQAAAAA=&#10;" strokecolor="black [3213]"/>
            </w:pict>
          </mc:Fallback>
        </mc:AlternateContent>
      </w:r>
      <w:bookmarkStart w:id="3" w:name="_Toc338760454"/>
      <w:bookmarkStart w:id="4" w:name="_Toc338760518"/>
      <w:bookmarkStart w:id="5" w:name="_Toc338760584"/>
      <w:bookmarkStart w:id="6" w:name="_Toc338760600"/>
      <w:bookmarkStart w:id="7" w:name="_Toc338760609"/>
      <w:bookmarkStart w:id="8" w:name="_Toc358181225"/>
      <w:bookmarkStart w:id="9" w:name="_Toc447523744"/>
      <w:bookmarkEnd w:id="0"/>
      <w:bookmarkEnd w:id="1"/>
      <w:bookmarkEnd w:id="2"/>
    </w:p>
    <w:p w:rsidR="004C5AED" w:rsidRDefault="004C5AED" w:rsidP="00CE5E00">
      <w:pPr>
        <w:pStyle w:val="Rubrik1"/>
      </w:pPr>
    </w:p>
    <w:p w:rsidR="00CE5E00" w:rsidRPr="00332D94" w:rsidRDefault="00CE5E00" w:rsidP="00CE5E00">
      <w:pPr>
        <w:pStyle w:val="Rubrik1"/>
      </w:pPr>
      <w:r w:rsidRPr="00332D94">
        <w:t>Syfte</w:t>
      </w:r>
      <w:bookmarkEnd w:id="3"/>
      <w:bookmarkEnd w:id="4"/>
      <w:bookmarkEnd w:id="5"/>
      <w:bookmarkEnd w:id="6"/>
      <w:bookmarkEnd w:id="7"/>
      <w:bookmarkEnd w:id="8"/>
      <w:bookmarkEnd w:id="9"/>
    </w:p>
    <w:p w:rsidR="00007CDA" w:rsidRPr="00790353" w:rsidRDefault="00007CDA" w:rsidP="00332D94">
      <w:pPr>
        <w:rPr>
          <w:szCs w:val="22"/>
        </w:rPr>
      </w:pPr>
      <w:r w:rsidRPr="00790353">
        <w:rPr>
          <w:szCs w:val="22"/>
        </w:rPr>
        <w:t>En mer användarvänlig process för informationsöverföring mellan närsjukvård</w:t>
      </w:r>
      <w:r w:rsidR="00790353" w:rsidRPr="00790353">
        <w:rPr>
          <w:szCs w:val="22"/>
        </w:rPr>
        <w:t>/psykiatrisk öppenvård</w:t>
      </w:r>
      <w:r w:rsidR="002A2A4D">
        <w:rPr>
          <w:szCs w:val="22"/>
        </w:rPr>
        <w:t xml:space="preserve">, specialistmottagningar </w:t>
      </w:r>
      <w:r w:rsidRPr="00790353">
        <w:rPr>
          <w:szCs w:val="22"/>
        </w:rPr>
        <w:t xml:space="preserve">och kommunerna </w:t>
      </w:r>
      <w:r w:rsidR="00790353" w:rsidRPr="00790353">
        <w:rPr>
          <w:szCs w:val="22"/>
        </w:rPr>
        <w:t xml:space="preserve">i Halland </w:t>
      </w:r>
      <w:r w:rsidRPr="00790353">
        <w:rPr>
          <w:szCs w:val="22"/>
        </w:rPr>
        <w:t>med stöd av Lifecare SP.</w:t>
      </w:r>
      <w:r w:rsidR="00B039BD">
        <w:rPr>
          <w:szCs w:val="22"/>
        </w:rPr>
        <w:t xml:space="preserve"> </w:t>
      </w:r>
    </w:p>
    <w:p w:rsidR="009001F7" w:rsidRDefault="009001F7" w:rsidP="00332D94"/>
    <w:p w:rsidR="002F13E2" w:rsidRPr="002F13E2" w:rsidRDefault="00980B6C" w:rsidP="00D975E4">
      <w:pPr>
        <w:pStyle w:val="Brdtext"/>
        <w:spacing w:line="240" w:lineRule="auto"/>
        <w:rPr>
          <w:rFonts w:ascii="Arial" w:hAnsi="Arial" w:cs="Arial"/>
          <w:sz w:val="24"/>
          <w:szCs w:val="24"/>
        </w:rPr>
      </w:pPr>
      <w:bookmarkStart w:id="10" w:name="_Toc447523745"/>
      <w:r w:rsidRPr="00790353">
        <w:rPr>
          <w:rStyle w:val="Rubrik1Char"/>
        </w:rPr>
        <w:t>Bakgrund</w:t>
      </w:r>
      <w:bookmarkEnd w:id="10"/>
      <w:r w:rsidRPr="00B367BD">
        <w:rPr>
          <w:rFonts w:eastAsia="Calibri"/>
          <w:b/>
          <w:sz w:val="26"/>
          <w:szCs w:val="28"/>
        </w:rPr>
        <w:t xml:space="preserve"> </w:t>
      </w:r>
      <w:r w:rsidR="0062795F">
        <w:br/>
      </w:r>
      <w:r w:rsidR="002F13E2" w:rsidRPr="00790353">
        <w:rPr>
          <w:rFonts w:ascii="Arial" w:hAnsi="Arial" w:cs="Arial"/>
          <w:sz w:val="22"/>
          <w:szCs w:val="22"/>
        </w:rPr>
        <w:t xml:space="preserve">Lifecare SP </w:t>
      </w:r>
      <w:r w:rsidR="00B039BD">
        <w:rPr>
          <w:rFonts w:ascii="Arial" w:hAnsi="Arial" w:cs="Arial"/>
          <w:sz w:val="22"/>
          <w:szCs w:val="22"/>
        </w:rPr>
        <w:t xml:space="preserve">är ett webbaserat IT system och </w:t>
      </w:r>
      <w:r w:rsidR="002F13E2" w:rsidRPr="00790353">
        <w:rPr>
          <w:rFonts w:ascii="Arial" w:hAnsi="Arial" w:cs="Arial"/>
          <w:sz w:val="22"/>
          <w:szCs w:val="22"/>
        </w:rPr>
        <w:t xml:space="preserve">används idag av </w:t>
      </w:r>
      <w:r w:rsidR="00007CDA" w:rsidRPr="00790353">
        <w:rPr>
          <w:rFonts w:ascii="Arial" w:hAnsi="Arial" w:cs="Arial"/>
          <w:sz w:val="22"/>
          <w:szCs w:val="22"/>
        </w:rPr>
        <w:t xml:space="preserve">Hallands kommuner </w:t>
      </w:r>
      <w:r w:rsidR="002F13E2" w:rsidRPr="00790353">
        <w:rPr>
          <w:rFonts w:ascii="Arial" w:hAnsi="Arial" w:cs="Arial"/>
          <w:sz w:val="22"/>
          <w:szCs w:val="22"/>
        </w:rPr>
        <w:t>och</w:t>
      </w:r>
      <w:r w:rsidR="00007CDA" w:rsidRPr="00790353">
        <w:rPr>
          <w:rFonts w:ascii="Arial" w:hAnsi="Arial" w:cs="Arial"/>
          <w:sz w:val="22"/>
          <w:szCs w:val="22"/>
        </w:rPr>
        <w:t xml:space="preserve"> Region </w:t>
      </w:r>
      <w:r w:rsidR="002F13E2" w:rsidRPr="00790353">
        <w:rPr>
          <w:rFonts w:ascii="Arial" w:hAnsi="Arial" w:cs="Arial"/>
          <w:sz w:val="22"/>
          <w:szCs w:val="22"/>
        </w:rPr>
        <w:t>Halland som ett stöd vid samverkan vid utskrivning från sluten hälso- och sjukvård och vid upprättande av samordnad individuell plan. Systemet stödjer också vård-</w:t>
      </w:r>
      <w:r w:rsidR="008B077E">
        <w:rPr>
          <w:rFonts w:ascii="Arial" w:hAnsi="Arial" w:cs="Arial"/>
          <w:sz w:val="22"/>
          <w:szCs w:val="22"/>
        </w:rPr>
        <w:t xml:space="preserve"> </w:t>
      </w:r>
      <w:r w:rsidR="002F13E2" w:rsidRPr="00790353">
        <w:rPr>
          <w:rFonts w:ascii="Arial" w:hAnsi="Arial" w:cs="Arial"/>
          <w:sz w:val="22"/>
          <w:szCs w:val="22"/>
        </w:rPr>
        <w:t>och omsorgsplanering i öppenvård. Användare i verksamheterna har identifierat ett behov av att utveckla användningsområdet för IT-systemet Lifecare SP</w:t>
      </w:r>
      <w:r w:rsidR="005F5B7B">
        <w:rPr>
          <w:rFonts w:ascii="Arial" w:hAnsi="Arial" w:cs="Arial"/>
          <w:sz w:val="22"/>
          <w:szCs w:val="22"/>
        </w:rPr>
        <w:t xml:space="preserve"> </w:t>
      </w:r>
      <w:r w:rsidR="002F13E2" w:rsidRPr="00C7284D">
        <w:rPr>
          <w:rFonts w:ascii="Arial" w:hAnsi="Arial" w:cs="Arial"/>
          <w:sz w:val="22"/>
          <w:szCs w:val="22"/>
        </w:rPr>
        <w:t>som</w:t>
      </w:r>
      <w:r w:rsidR="00C7284D">
        <w:rPr>
          <w:rFonts w:ascii="Arial" w:hAnsi="Arial" w:cs="Arial"/>
          <w:sz w:val="22"/>
          <w:szCs w:val="22"/>
        </w:rPr>
        <w:t xml:space="preserve"> </w:t>
      </w:r>
      <w:r w:rsidR="002F13E2" w:rsidRPr="00790353">
        <w:rPr>
          <w:rFonts w:ascii="Arial" w:hAnsi="Arial" w:cs="Arial"/>
          <w:sz w:val="22"/>
          <w:szCs w:val="22"/>
        </w:rPr>
        <w:t>informationskanal mellan verksamheterna för andra ärenden än in- och utskrivning i öppenvård/slutenvård för personer inskrivna i kommunal hälso- och sjukvård.</w:t>
      </w:r>
    </w:p>
    <w:p w:rsidR="0062795F" w:rsidRPr="00B367BD" w:rsidRDefault="0062795F" w:rsidP="00B367BD">
      <w:r w:rsidRPr="0062795F">
        <w:rPr>
          <w:szCs w:val="22"/>
        </w:rPr>
        <w:t xml:space="preserve">   </w:t>
      </w:r>
    </w:p>
    <w:p w:rsidR="004F7569" w:rsidRPr="00EC5D5C" w:rsidRDefault="00655B63" w:rsidP="00CA74D0">
      <w:pPr>
        <w:pStyle w:val="Rubrik1"/>
        <w:rPr>
          <w:color w:val="000000" w:themeColor="text1"/>
        </w:rPr>
      </w:pPr>
      <w:r>
        <w:rPr>
          <w:color w:val="000000" w:themeColor="text1"/>
        </w:rPr>
        <w:t>Genomförande</w:t>
      </w:r>
    </w:p>
    <w:p w:rsidR="001E00AC" w:rsidRDefault="00A8275B" w:rsidP="00BB680F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Rutinen </w:t>
      </w:r>
      <w:r w:rsidR="001E00AC" w:rsidRPr="00790353">
        <w:rPr>
          <w:color w:val="000000" w:themeColor="text1"/>
          <w:szCs w:val="22"/>
        </w:rPr>
        <w:t xml:space="preserve">gäller för informationsöverföring mellan </w:t>
      </w:r>
      <w:r w:rsidR="001473F8" w:rsidRPr="001473F8">
        <w:rPr>
          <w:color w:val="000000" w:themeColor="text1"/>
          <w:szCs w:val="22"/>
        </w:rPr>
        <w:t xml:space="preserve">berörd </w:t>
      </w:r>
      <w:r w:rsidR="001E00AC" w:rsidRPr="00790353">
        <w:rPr>
          <w:color w:val="000000" w:themeColor="text1"/>
          <w:szCs w:val="22"/>
        </w:rPr>
        <w:t>legitimerad personal i kommun</w:t>
      </w:r>
      <w:r w:rsidR="00C6191C">
        <w:rPr>
          <w:color w:val="000000" w:themeColor="text1"/>
          <w:szCs w:val="22"/>
        </w:rPr>
        <w:t xml:space="preserve">, </w:t>
      </w:r>
      <w:r w:rsidR="001E00AC" w:rsidRPr="00790353">
        <w:rPr>
          <w:color w:val="000000" w:themeColor="text1"/>
          <w:szCs w:val="22"/>
        </w:rPr>
        <w:t>närsjukvård/psykiatrisk öppenvård</w:t>
      </w:r>
      <w:r w:rsidR="001473F8">
        <w:rPr>
          <w:color w:val="000000" w:themeColor="text1"/>
          <w:szCs w:val="22"/>
        </w:rPr>
        <w:t xml:space="preserve"> samt specialistmottagningar</w:t>
      </w:r>
      <w:r w:rsidR="00591A26">
        <w:rPr>
          <w:color w:val="000000" w:themeColor="text1"/>
          <w:szCs w:val="22"/>
        </w:rPr>
        <w:t xml:space="preserve"> </w:t>
      </w:r>
      <w:r w:rsidR="00591A26" w:rsidRPr="00591A26">
        <w:rPr>
          <w:color w:val="000000" w:themeColor="text1"/>
          <w:szCs w:val="22"/>
        </w:rPr>
        <w:t>(i nuläget Habiliteringen och Palliativa konsultteam).</w:t>
      </w:r>
      <w:bookmarkStart w:id="11" w:name="_GoBack"/>
      <w:bookmarkEnd w:id="11"/>
      <w:r w:rsidR="001E00AC" w:rsidRPr="00790353">
        <w:rPr>
          <w:color w:val="000000" w:themeColor="text1"/>
          <w:szCs w:val="22"/>
        </w:rPr>
        <w:t xml:space="preserve"> </w:t>
      </w:r>
      <w:r w:rsidR="001F496B">
        <w:rPr>
          <w:color w:val="000000" w:themeColor="text1"/>
          <w:szCs w:val="22"/>
        </w:rPr>
        <w:t xml:space="preserve">Patienten ska vara </w:t>
      </w:r>
      <w:r w:rsidR="00D975E4">
        <w:rPr>
          <w:color w:val="000000" w:themeColor="text1"/>
          <w:szCs w:val="22"/>
        </w:rPr>
        <w:t>inskriv</w:t>
      </w:r>
      <w:r w:rsidR="001473F8">
        <w:rPr>
          <w:color w:val="000000" w:themeColor="text1"/>
          <w:szCs w:val="22"/>
        </w:rPr>
        <w:t xml:space="preserve">en </w:t>
      </w:r>
      <w:r w:rsidR="00D975E4">
        <w:rPr>
          <w:color w:val="000000" w:themeColor="text1"/>
          <w:szCs w:val="22"/>
        </w:rPr>
        <w:t>i kommunal hälso-och sjukvård.</w:t>
      </w:r>
      <w:r w:rsidR="001F496B">
        <w:rPr>
          <w:color w:val="000000" w:themeColor="text1"/>
          <w:szCs w:val="22"/>
        </w:rPr>
        <w:t xml:space="preserve"> </w:t>
      </w:r>
    </w:p>
    <w:p w:rsidR="00A8275B" w:rsidRPr="00790353" w:rsidRDefault="00A8275B" w:rsidP="00BB680F">
      <w:pPr>
        <w:rPr>
          <w:color w:val="000000" w:themeColor="text1"/>
          <w:szCs w:val="22"/>
        </w:rPr>
      </w:pPr>
    </w:p>
    <w:p w:rsidR="001E00AC" w:rsidRDefault="00A8275B" w:rsidP="00BB680F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Målet är att förenkla informationsöverföringen och i möjligaste mån ersätta tidigare kommunikation som skett per telefon mellan parterna.</w:t>
      </w:r>
    </w:p>
    <w:p w:rsidR="00A8275B" w:rsidRPr="00790353" w:rsidRDefault="00A8275B" w:rsidP="00BB680F">
      <w:pPr>
        <w:rPr>
          <w:color w:val="000000" w:themeColor="text1"/>
          <w:szCs w:val="22"/>
        </w:rPr>
      </w:pPr>
    </w:p>
    <w:p w:rsidR="001E00AC" w:rsidRDefault="00D0397B" w:rsidP="00BB680F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Nedan punkter kan kommuniceras via </w:t>
      </w:r>
      <w:r w:rsidR="001E00AC" w:rsidRPr="00790353">
        <w:rPr>
          <w:color w:val="000000" w:themeColor="text1"/>
          <w:szCs w:val="22"/>
        </w:rPr>
        <w:t xml:space="preserve">Lifecare SP  </w:t>
      </w:r>
    </w:p>
    <w:p w:rsidR="001F496B" w:rsidRPr="001F496B" w:rsidRDefault="001F496B" w:rsidP="00BB680F">
      <w:pPr>
        <w:rPr>
          <w:color w:val="000000" w:themeColor="text1"/>
          <w:szCs w:val="22"/>
        </w:rPr>
      </w:pPr>
    </w:p>
    <w:p w:rsidR="001E00AC" w:rsidRPr="00B039BD" w:rsidRDefault="001E00AC" w:rsidP="00D975E4">
      <w:pPr>
        <w:pStyle w:val="Liststycke"/>
        <w:numPr>
          <w:ilvl w:val="0"/>
          <w:numId w:val="20"/>
        </w:numPr>
        <w:contextualSpacing w:val="0"/>
        <w:rPr>
          <w:rFonts w:cs="Arial"/>
        </w:rPr>
      </w:pPr>
      <w:r w:rsidRPr="00790353">
        <w:rPr>
          <w:rFonts w:eastAsia="Times New Roman" w:cs="Arial"/>
        </w:rPr>
        <w:t>Receptförnyelse</w:t>
      </w:r>
    </w:p>
    <w:p w:rsidR="00B039BD" w:rsidRPr="00790353" w:rsidRDefault="00B039BD" w:rsidP="00D975E4">
      <w:pPr>
        <w:pStyle w:val="Liststycke"/>
        <w:numPr>
          <w:ilvl w:val="0"/>
          <w:numId w:val="20"/>
        </w:numPr>
        <w:contextualSpacing w:val="0"/>
        <w:rPr>
          <w:rFonts w:cs="Arial"/>
        </w:rPr>
      </w:pPr>
      <w:r>
        <w:rPr>
          <w:rFonts w:eastAsia="Times New Roman" w:cs="Arial"/>
        </w:rPr>
        <w:t>Provtagning</w:t>
      </w:r>
    </w:p>
    <w:p w:rsidR="00790353" w:rsidRDefault="001E00AC" w:rsidP="00D975E4">
      <w:pPr>
        <w:pStyle w:val="Liststycke"/>
        <w:numPr>
          <w:ilvl w:val="0"/>
          <w:numId w:val="18"/>
        </w:numPr>
        <w:spacing w:after="200"/>
        <w:rPr>
          <w:rFonts w:eastAsia="Times New Roman" w:cs="Arial"/>
        </w:rPr>
      </w:pPr>
      <w:r w:rsidRPr="00790353">
        <w:rPr>
          <w:rFonts w:eastAsia="Times New Roman" w:cs="Arial"/>
        </w:rPr>
        <w:t>Uppföljning</w:t>
      </w:r>
      <w:r w:rsidR="00B039BD">
        <w:rPr>
          <w:rFonts w:eastAsia="Times New Roman" w:cs="Arial"/>
        </w:rPr>
        <w:t xml:space="preserve"> av</w:t>
      </w:r>
      <w:r w:rsidRPr="00790353">
        <w:rPr>
          <w:rFonts w:eastAsia="Times New Roman" w:cs="Arial"/>
        </w:rPr>
        <w:t xml:space="preserve"> t ex </w:t>
      </w:r>
    </w:p>
    <w:p w:rsidR="00790353" w:rsidRPr="00790353" w:rsidRDefault="00790353" w:rsidP="00D975E4">
      <w:pPr>
        <w:pStyle w:val="Liststycke"/>
        <w:numPr>
          <w:ilvl w:val="0"/>
          <w:numId w:val="21"/>
        </w:numPr>
        <w:spacing w:after="200"/>
        <w:rPr>
          <w:rFonts w:eastAsia="Times New Roman" w:cs="Arial"/>
        </w:rPr>
      </w:pPr>
      <w:r>
        <w:rPr>
          <w:rFonts w:cs="Arial"/>
        </w:rPr>
        <w:t>B</w:t>
      </w:r>
      <w:r w:rsidR="001E00AC" w:rsidRPr="00790353">
        <w:rPr>
          <w:rFonts w:cs="Arial"/>
        </w:rPr>
        <w:t>lodtryck</w:t>
      </w:r>
    </w:p>
    <w:p w:rsidR="00790353" w:rsidRPr="00790353" w:rsidRDefault="00790353" w:rsidP="00D975E4">
      <w:pPr>
        <w:pStyle w:val="Liststycke"/>
        <w:numPr>
          <w:ilvl w:val="0"/>
          <w:numId w:val="21"/>
        </w:numPr>
        <w:spacing w:after="200"/>
        <w:rPr>
          <w:rFonts w:eastAsia="Times New Roman" w:cs="Arial"/>
        </w:rPr>
      </w:pPr>
      <w:r>
        <w:rPr>
          <w:rFonts w:cs="Arial"/>
        </w:rPr>
        <w:t>V</w:t>
      </w:r>
      <w:r w:rsidR="001E00AC" w:rsidRPr="00790353">
        <w:rPr>
          <w:rFonts w:cs="Arial"/>
        </w:rPr>
        <w:t xml:space="preserve">ikt </w:t>
      </w:r>
    </w:p>
    <w:p w:rsidR="001E00AC" w:rsidRPr="00790353" w:rsidRDefault="00790353" w:rsidP="00D975E4">
      <w:pPr>
        <w:pStyle w:val="Liststycke"/>
        <w:numPr>
          <w:ilvl w:val="0"/>
          <w:numId w:val="21"/>
        </w:numPr>
        <w:spacing w:after="200"/>
        <w:rPr>
          <w:rFonts w:eastAsia="Times New Roman" w:cs="Arial"/>
        </w:rPr>
      </w:pPr>
      <w:r>
        <w:rPr>
          <w:rFonts w:cs="Arial"/>
        </w:rPr>
        <w:t>B</w:t>
      </w:r>
      <w:r w:rsidR="001E00AC" w:rsidRPr="00790353">
        <w:rPr>
          <w:rFonts w:cs="Arial"/>
        </w:rPr>
        <w:t xml:space="preserve">lodsocker </w:t>
      </w:r>
    </w:p>
    <w:p w:rsidR="00B039BD" w:rsidRDefault="001E00AC" w:rsidP="00D975E4">
      <w:pPr>
        <w:pStyle w:val="Liststycke"/>
        <w:numPr>
          <w:ilvl w:val="0"/>
          <w:numId w:val="18"/>
        </w:numPr>
        <w:spacing w:after="200"/>
        <w:rPr>
          <w:rFonts w:eastAsia="Times New Roman" w:cs="Arial"/>
        </w:rPr>
      </w:pPr>
      <w:r w:rsidRPr="00790353">
        <w:rPr>
          <w:rFonts w:eastAsia="Times New Roman" w:cs="Arial"/>
        </w:rPr>
        <w:t xml:space="preserve">Boka in tid för </w:t>
      </w:r>
    </w:p>
    <w:p w:rsidR="001E00AC" w:rsidRDefault="00B039BD" w:rsidP="00D975E4">
      <w:pPr>
        <w:pStyle w:val="Liststycke"/>
        <w:numPr>
          <w:ilvl w:val="0"/>
          <w:numId w:val="22"/>
        </w:numPr>
        <w:spacing w:after="200"/>
        <w:rPr>
          <w:rFonts w:eastAsia="Times New Roman" w:cs="Arial"/>
        </w:rPr>
      </w:pPr>
      <w:r>
        <w:rPr>
          <w:rFonts w:eastAsia="Times New Roman" w:cs="Arial"/>
        </w:rPr>
        <w:t>Å</w:t>
      </w:r>
      <w:r w:rsidR="001E00AC" w:rsidRPr="00790353">
        <w:rPr>
          <w:rFonts w:eastAsia="Times New Roman" w:cs="Arial"/>
        </w:rPr>
        <w:t>rskontroll</w:t>
      </w:r>
      <w:r>
        <w:rPr>
          <w:rFonts w:eastAsia="Times New Roman" w:cs="Arial"/>
        </w:rPr>
        <w:t>er</w:t>
      </w:r>
    </w:p>
    <w:p w:rsidR="001E00AC" w:rsidRDefault="00DC3B99" w:rsidP="00D975E4">
      <w:pPr>
        <w:pStyle w:val="Liststycke"/>
        <w:numPr>
          <w:ilvl w:val="0"/>
          <w:numId w:val="22"/>
        </w:numPr>
        <w:spacing w:after="200"/>
        <w:rPr>
          <w:rFonts w:eastAsia="Times New Roman" w:cs="Arial"/>
        </w:rPr>
      </w:pPr>
      <w:r>
        <w:rPr>
          <w:rFonts w:eastAsia="Times New Roman" w:cs="Arial"/>
        </w:rPr>
        <w:t>L</w:t>
      </w:r>
      <w:r w:rsidR="001E00AC" w:rsidRPr="00790353">
        <w:rPr>
          <w:rFonts w:eastAsia="Times New Roman" w:cs="Arial"/>
        </w:rPr>
        <w:t xml:space="preserve">äkarbesök </w:t>
      </w:r>
      <w:r w:rsidR="00B039BD">
        <w:rPr>
          <w:rFonts w:eastAsia="Times New Roman" w:cs="Arial"/>
        </w:rPr>
        <w:t>av</w:t>
      </w:r>
      <w:r w:rsidR="001E00AC" w:rsidRPr="00790353">
        <w:rPr>
          <w:rFonts w:eastAsia="Times New Roman" w:cs="Arial"/>
        </w:rPr>
        <w:t xml:space="preserve"> icke akut karaktär</w:t>
      </w:r>
    </w:p>
    <w:p w:rsidR="00DC3B99" w:rsidRDefault="00DC3B99" w:rsidP="00DC3B99">
      <w:pPr>
        <w:spacing w:after="200"/>
      </w:pPr>
    </w:p>
    <w:p w:rsidR="00DC3B99" w:rsidRPr="00DC3B99" w:rsidRDefault="00DC3B99" w:rsidP="00DC3B99">
      <w:pPr>
        <w:spacing w:after="200"/>
      </w:pPr>
    </w:p>
    <w:p w:rsidR="001E00AC" w:rsidRPr="00790353" w:rsidRDefault="001E00AC" w:rsidP="00790353">
      <w:pPr>
        <w:pStyle w:val="Rubrik1"/>
      </w:pPr>
      <w:r w:rsidRPr="00790353">
        <w:t>Avgränsning</w:t>
      </w:r>
    </w:p>
    <w:p w:rsidR="006B6EB8" w:rsidRDefault="008E6932" w:rsidP="00BB680F">
      <w:pPr>
        <w:rPr>
          <w:color w:val="000000" w:themeColor="text1"/>
          <w:sz w:val="24"/>
          <w:szCs w:val="24"/>
        </w:rPr>
      </w:pPr>
      <w:r w:rsidRPr="00B039BD">
        <w:rPr>
          <w:color w:val="000000" w:themeColor="text1"/>
          <w:szCs w:val="22"/>
        </w:rPr>
        <w:t>Lifecare</w:t>
      </w:r>
      <w:r w:rsidR="00D0397B">
        <w:rPr>
          <w:color w:val="000000" w:themeColor="text1"/>
          <w:szCs w:val="22"/>
        </w:rPr>
        <w:t xml:space="preserve"> SP</w:t>
      </w:r>
      <w:r w:rsidRPr="00B039BD">
        <w:rPr>
          <w:color w:val="000000" w:themeColor="text1"/>
          <w:szCs w:val="22"/>
        </w:rPr>
        <w:t xml:space="preserve"> ska inte användas för att bifoga journalhandlingar såsom läkemedelslistor</w:t>
      </w:r>
      <w:r w:rsidR="001473F8">
        <w:rPr>
          <w:color w:val="000000" w:themeColor="text1"/>
          <w:szCs w:val="22"/>
        </w:rPr>
        <w:t xml:space="preserve"> eller ordinationer, ex </w:t>
      </w:r>
      <w:r w:rsidR="00D0397B">
        <w:rPr>
          <w:color w:val="000000" w:themeColor="text1"/>
          <w:szCs w:val="22"/>
        </w:rPr>
        <w:t>Waran ordination</w:t>
      </w:r>
      <w:r w:rsidRPr="00B039BD">
        <w:rPr>
          <w:color w:val="000000" w:themeColor="text1"/>
          <w:szCs w:val="22"/>
        </w:rPr>
        <w:t xml:space="preserve"> eller </w:t>
      </w:r>
      <w:r w:rsidR="00B039BD">
        <w:rPr>
          <w:color w:val="000000" w:themeColor="text1"/>
          <w:szCs w:val="22"/>
        </w:rPr>
        <w:t xml:space="preserve">annan originalhandling. Det ska heller inte användas vid behov av </w:t>
      </w:r>
      <w:r w:rsidR="001473F8">
        <w:rPr>
          <w:color w:val="000000" w:themeColor="text1"/>
          <w:szCs w:val="22"/>
        </w:rPr>
        <w:t xml:space="preserve">receptförnyelse av narkotiska preparat eller </w:t>
      </w:r>
      <w:r w:rsidRPr="00B039BD">
        <w:rPr>
          <w:color w:val="000000" w:themeColor="text1"/>
          <w:szCs w:val="22"/>
        </w:rPr>
        <w:t xml:space="preserve">nyförskrivning </w:t>
      </w:r>
      <w:r w:rsidR="001473F8">
        <w:rPr>
          <w:color w:val="000000" w:themeColor="text1"/>
          <w:szCs w:val="22"/>
        </w:rPr>
        <w:t xml:space="preserve">av läkemedel. </w:t>
      </w:r>
      <w:r w:rsidRPr="00790353">
        <w:rPr>
          <w:color w:val="000000" w:themeColor="text1"/>
          <w:sz w:val="24"/>
          <w:szCs w:val="24"/>
        </w:rPr>
        <w:t xml:space="preserve"> </w:t>
      </w:r>
    </w:p>
    <w:p w:rsidR="006B6EB8" w:rsidRDefault="006B6EB8" w:rsidP="00BB680F">
      <w:pPr>
        <w:rPr>
          <w:color w:val="000000" w:themeColor="text1"/>
          <w:sz w:val="24"/>
          <w:szCs w:val="24"/>
        </w:rPr>
      </w:pPr>
    </w:p>
    <w:p w:rsidR="001E00AC" w:rsidRPr="00B039BD" w:rsidRDefault="00D0397B" w:rsidP="00BB680F">
      <w:pPr>
        <w:rPr>
          <w:color w:val="000000" w:themeColor="text1"/>
          <w:szCs w:val="22"/>
        </w:rPr>
      </w:pPr>
      <w:r w:rsidRPr="00B039BD">
        <w:rPr>
          <w:color w:val="000000" w:themeColor="text1"/>
          <w:szCs w:val="22"/>
        </w:rPr>
        <w:t>Informationen</w:t>
      </w:r>
      <w:r w:rsidR="008E6932" w:rsidRPr="00B039BD">
        <w:rPr>
          <w:color w:val="000000" w:themeColor="text1"/>
          <w:szCs w:val="22"/>
        </w:rPr>
        <w:t xml:space="preserve"> i Lifecare SP får ej</w:t>
      </w:r>
      <w:r w:rsidR="00790353" w:rsidRPr="00B039BD">
        <w:rPr>
          <w:color w:val="000000" w:themeColor="text1"/>
          <w:szCs w:val="22"/>
        </w:rPr>
        <w:t xml:space="preserve"> vara av akut karaktär. </w:t>
      </w:r>
      <w:r>
        <w:rPr>
          <w:color w:val="000000" w:themeColor="text1"/>
          <w:szCs w:val="22"/>
        </w:rPr>
        <w:t>Återkoppling kan förväntas tidigast efter 48 timmar</w:t>
      </w:r>
      <w:r w:rsidR="001473F8">
        <w:rPr>
          <w:color w:val="000000" w:themeColor="text1"/>
          <w:szCs w:val="22"/>
        </w:rPr>
        <w:t xml:space="preserve"> men senast inom 7 dagar</w:t>
      </w:r>
      <w:r>
        <w:rPr>
          <w:color w:val="000000" w:themeColor="text1"/>
          <w:szCs w:val="22"/>
        </w:rPr>
        <w:t xml:space="preserve"> (vardagar-kontorstid). </w:t>
      </w:r>
    </w:p>
    <w:p w:rsidR="00790353" w:rsidRDefault="00790353" w:rsidP="00BB680F">
      <w:pPr>
        <w:rPr>
          <w:color w:val="000000" w:themeColor="text1"/>
          <w:szCs w:val="22"/>
        </w:rPr>
      </w:pPr>
    </w:p>
    <w:p w:rsidR="00980B6C" w:rsidRPr="00EC5D5C" w:rsidRDefault="00274DA7" w:rsidP="00CA74D0">
      <w:pPr>
        <w:pStyle w:val="Rubrik1"/>
        <w:rPr>
          <w:color w:val="000000" w:themeColor="text1"/>
        </w:rPr>
      </w:pPr>
      <w:r>
        <w:rPr>
          <w:color w:val="000000" w:themeColor="text1"/>
        </w:rPr>
        <w:t>Kommunikation</w:t>
      </w:r>
    </w:p>
    <w:p w:rsidR="001E00AC" w:rsidRDefault="001E00AC" w:rsidP="001E00AC">
      <w:pPr>
        <w:rPr>
          <w:color w:val="000000" w:themeColor="text1"/>
          <w:szCs w:val="22"/>
        </w:rPr>
      </w:pPr>
      <w:bookmarkStart w:id="12" w:name="_Toc447523748"/>
      <w:r>
        <w:rPr>
          <w:color w:val="000000" w:themeColor="text1"/>
          <w:szCs w:val="22"/>
        </w:rPr>
        <w:t xml:space="preserve">Informationsöverföringen </w:t>
      </w:r>
      <w:r w:rsidR="00B039BD">
        <w:rPr>
          <w:color w:val="000000" w:themeColor="text1"/>
          <w:szCs w:val="22"/>
        </w:rPr>
        <w:t xml:space="preserve">sker </w:t>
      </w:r>
      <w:r>
        <w:rPr>
          <w:color w:val="000000" w:themeColor="text1"/>
          <w:szCs w:val="22"/>
        </w:rPr>
        <w:t xml:space="preserve">i Lifecare </w:t>
      </w:r>
      <w:r w:rsidR="00D975E4">
        <w:rPr>
          <w:color w:val="000000" w:themeColor="text1"/>
          <w:szCs w:val="22"/>
        </w:rPr>
        <w:t>via ett</w:t>
      </w:r>
      <w:r>
        <w:rPr>
          <w:color w:val="000000" w:themeColor="text1"/>
          <w:szCs w:val="22"/>
        </w:rPr>
        <w:t xml:space="preserve"> ”Meddelande utanför vårdtillfälle”</w:t>
      </w:r>
      <w:r w:rsidR="001473F8">
        <w:rPr>
          <w:color w:val="000000" w:themeColor="text1"/>
          <w:szCs w:val="22"/>
        </w:rPr>
        <w:t xml:space="preserve">, se </w:t>
      </w:r>
    </w:p>
    <w:p w:rsidR="001473F8" w:rsidRPr="003B2743" w:rsidRDefault="000955D6" w:rsidP="003B2743">
      <w:pPr>
        <w:pStyle w:val="Liststycke"/>
        <w:numPr>
          <w:ilvl w:val="0"/>
          <w:numId w:val="18"/>
        </w:numPr>
      </w:pPr>
      <w:r>
        <w:t>M</w:t>
      </w:r>
      <w:r w:rsidR="00086C2F" w:rsidRPr="003B2743">
        <w:t>anualen</w:t>
      </w:r>
      <w:r w:rsidR="0046268A" w:rsidRPr="003B2743">
        <w:t xml:space="preserve"> för</w:t>
      </w:r>
      <w:r w:rsidR="0046268A" w:rsidRPr="003B2743">
        <w:rPr>
          <w:color w:val="FF0000"/>
        </w:rPr>
        <w:t xml:space="preserve"> </w:t>
      </w:r>
      <w:hyperlink r:id="rId14" w:history="1">
        <w:r w:rsidR="0046268A" w:rsidRPr="000955D6">
          <w:rPr>
            <w:rStyle w:val="Hyperlnk"/>
            <w:b/>
          </w:rPr>
          <w:t>Närsjukvård o psykiatrisk öppenvård</w:t>
        </w:r>
        <w:r w:rsidR="0046268A" w:rsidRPr="000955D6">
          <w:rPr>
            <w:rStyle w:val="Hyperlnk"/>
          </w:rPr>
          <w:t>:</w:t>
        </w:r>
        <w:r w:rsidR="003B2743" w:rsidRPr="000955D6">
          <w:rPr>
            <w:rStyle w:val="Hyperlnk"/>
          </w:rPr>
          <w:t xml:space="preserve"> </w:t>
        </w:r>
        <w:r w:rsidR="0046268A" w:rsidRPr="000955D6">
          <w:rPr>
            <w:rStyle w:val="Hyperlnk"/>
          </w:rPr>
          <w:t>Enstaka hembesök och In o utskrivning hemsjukvård</w:t>
        </w:r>
      </w:hyperlink>
    </w:p>
    <w:p w:rsidR="0046268A" w:rsidRPr="003B2743" w:rsidRDefault="000955D6" w:rsidP="003B2743">
      <w:pPr>
        <w:pStyle w:val="Liststycke"/>
        <w:numPr>
          <w:ilvl w:val="0"/>
          <w:numId w:val="18"/>
        </w:numPr>
        <w:rPr>
          <w:color w:val="FF0000"/>
        </w:rPr>
      </w:pPr>
      <w:r>
        <w:t>M</w:t>
      </w:r>
      <w:r w:rsidR="0046268A" w:rsidRPr="003B2743">
        <w:t xml:space="preserve">anualen för </w:t>
      </w:r>
      <w:hyperlink r:id="rId15" w:history="1">
        <w:r w:rsidRPr="000955D6">
          <w:rPr>
            <w:rStyle w:val="Hyperlnk"/>
            <w:b/>
          </w:rPr>
          <w:t>K</w:t>
        </w:r>
        <w:r w:rsidR="0046268A" w:rsidRPr="000955D6">
          <w:rPr>
            <w:rStyle w:val="Hyperlnk"/>
            <w:b/>
          </w:rPr>
          <w:t>ommunen</w:t>
        </w:r>
        <w:r w:rsidR="0046268A" w:rsidRPr="000955D6">
          <w:rPr>
            <w:rStyle w:val="Hyperlnk"/>
          </w:rPr>
          <w:t>: Enstaka hembesök och In o utskrivning hemsjukvård</w:t>
        </w:r>
      </w:hyperlink>
    </w:p>
    <w:p w:rsidR="00BB5A75" w:rsidRPr="003B2743" w:rsidRDefault="00BB5A75" w:rsidP="00BB5A75">
      <w:pPr>
        <w:pStyle w:val="Liststycke"/>
        <w:numPr>
          <w:ilvl w:val="0"/>
          <w:numId w:val="18"/>
        </w:numPr>
      </w:pPr>
      <w:r w:rsidRPr="00853FD2">
        <w:rPr>
          <w:b/>
        </w:rPr>
        <w:t>K</w:t>
      </w:r>
      <w:r>
        <w:rPr>
          <w:b/>
        </w:rPr>
        <w:t xml:space="preserve">ommunens </w:t>
      </w:r>
      <w:hyperlink r:id="rId16" w:history="1">
        <w:r w:rsidRPr="00BB5A75">
          <w:rPr>
            <w:rStyle w:val="Hyperlnk"/>
            <w:b/>
          </w:rPr>
          <w:t>Mottagare</w:t>
        </w:r>
        <w:r w:rsidRPr="00BB5A75">
          <w:rPr>
            <w:rStyle w:val="Hyperlnk"/>
          </w:rPr>
          <w:t xml:space="preserve"> av ”Meddelande för Enstaka hembesök och initiering Hemsjukvård</w:t>
        </w:r>
      </w:hyperlink>
      <w:r w:rsidRPr="003B2743">
        <w:t xml:space="preserve">” </w:t>
      </w:r>
    </w:p>
    <w:p w:rsidR="001E00AC" w:rsidRPr="00D0397B" w:rsidRDefault="001E00AC" w:rsidP="00274DA7">
      <w:pPr>
        <w:rPr>
          <w:rFonts w:eastAsiaTheme="minorHAnsi"/>
          <w:i/>
          <w:iCs/>
          <w:szCs w:val="22"/>
        </w:rPr>
      </w:pPr>
    </w:p>
    <w:bookmarkEnd w:id="12"/>
    <w:p w:rsidR="00782835" w:rsidRPr="00EC5D5C" w:rsidRDefault="00782835">
      <w:pPr>
        <w:rPr>
          <w:color w:val="000000" w:themeColor="text1"/>
        </w:rPr>
      </w:pPr>
    </w:p>
    <w:p w:rsidR="00CD2DA0" w:rsidRDefault="005A6C22" w:rsidP="00CD2DA0">
      <w:pPr>
        <w:pStyle w:val="Rubrik1"/>
      </w:pPr>
      <w:bookmarkStart w:id="13" w:name="_Toc358181229"/>
      <w:bookmarkStart w:id="14" w:name="_Toc447523750"/>
      <w:r>
        <w:t>R</w:t>
      </w:r>
      <w:r w:rsidR="00EC5D5C">
        <w:t xml:space="preserve">elaterad till </w:t>
      </w:r>
      <w:r>
        <w:t>följande processer:</w:t>
      </w:r>
      <w:bookmarkEnd w:id="13"/>
      <w:bookmarkEnd w:id="14"/>
    </w:p>
    <w:p w:rsidR="00007CDA" w:rsidRDefault="003D6301" w:rsidP="00332D94">
      <w:pPr>
        <w:rPr>
          <w:iCs/>
        </w:rPr>
      </w:pPr>
      <w:bookmarkStart w:id="15" w:name="_Toc447523751"/>
      <w:r>
        <w:rPr>
          <w:iCs/>
        </w:rPr>
        <w:t xml:space="preserve">Se </w:t>
      </w:r>
      <w:hyperlink r:id="rId17" w:history="1">
        <w:r w:rsidRPr="003D6301">
          <w:rPr>
            <w:rStyle w:val="Hyperlnk"/>
            <w:iCs/>
          </w:rPr>
          <w:t>A</w:t>
        </w:r>
        <w:r w:rsidR="00007CDA" w:rsidRPr="003D6301">
          <w:rPr>
            <w:rStyle w:val="Hyperlnk"/>
            <w:iCs/>
          </w:rPr>
          <w:t>nvisning för Vård-och omsorgsplanering i öppenvård och Samverkan vid utskrivning från slutenvård</w:t>
        </w:r>
      </w:hyperlink>
      <w:r>
        <w:rPr>
          <w:iCs/>
        </w:rPr>
        <w:t>.</w:t>
      </w:r>
    </w:p>
    <w:p w:rsidR="00007CDA" w:rsidRPr="00007CDA" w:rsidRDefault="003D6301" w:rsidP="00332D94">
      <w:pPr>
        <w:rPr>
          <w:iCs/>
        </w:rPr>
      </w:pPr>
      <w:r>
        <w:rPr>
          <w:iCs/>
        </w:rPr>
        <w:t xml:space="preserve">Se </w:t>
      </w:r>
      <w:hyperlink r:id="rId18" w:history="1">
        <w:r w:rsidR="00007CDA" w:rsidRPr="003D6301">
          <w:rPr>
            <w:rStyle w:val="Hyperlnk"/>
            <w:iCs/>
          </w:rPr>
          <w:t>Samverkansrutin för vård-och omsorgsplanering i öppenvård och Utskrivningsplanering från sluten hälso-och sjukvård för Hallands kommuner och region Halland</w:t>
        </w:r>
      </w:hyperlink>
    </w:p>
    <w:p w:rsidR="00007CDA" w:rsidRDefault="00007CDA" w:rsidP="00332D94"/>
    <w:bookmarkEnd w:id="15"/>
    <w:p w:rsidR="00FA256E" w:rsidRPr="005B17E9" w:rsidRDefault="00FA256E" w:rsidP="00332D94"/>
    <w:sectPr w:rsidR="00FA256E" w:rsidRPr="005B17E9" w:rsidSect="008D54E4">
      <w:headerReference w:type="even" r:id="rId19"/>
      <w:headerReference w:type="default" r:id="rId20"/>
      <w:headerReference w:type="first" r:id="rId21"/>
      <w:type w:val="continuous"/>
      <w:pgSz w:w="11906" w:h="16838" w:code="9"/>
      <w:pgMar w:top="1758" w:right="1418" w:bottom="1701" w:left="1418" w:header="250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619" w:rsidRDefault="00CC6619" w:rsidP="00332D94">
      <w:r>
        <w:separator/>
      </w:r>
    </w:p>
  </w:endnote>
  <w:endnote w:type="continuationSeparator" w:id="0">
    <w:p w:rsidR="00CC6619" w:rsidRDefault="00CC6619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619" w:rsidRDefault="00CC6619" w:rsidP="00332D94">
      <w:r>
        <w:separator/>
      </w:r>
    </w:p>
  </w:footnote>
  <w:footnote w:type="continuationSeparator" w:id="0">
    <w:p w:rsidR="00CC6619" w:rsidRDefault="00CC6619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B3" w:rsidRDefault="00B51BB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FF" w:rsidRPr="00C20A69" w:rsidRDefault="00F730FF">
    <w:pPr>
      <w:pStyle w:val="Sidhuvud"/>
      <w:rPr>
        <w:strike/>
      </w:rPr>
    </w:pPr>
  </w:p>
  <w:p w:rsidR="002E0A96" w:rsidRPr="00C20A69" w:rsidRDefault="006B5EC1" w:rsidP="00332D94">
    <w:pPr>
      <w:pStyle w:val="Sidhuvud"/>
      <w:rPr>
        <w:strike/>
      </w:rPr>
    </w:pPr>
    <w:r w:rsidRPr="00C20A69">
      <w:rPr>
        <w:strike/>
      </w:rPr>
      <w:t xml:space="preserve"> </w:t>
    </w:r>
    <w:r w:rsidR="008D54E4">
      <w:rPr>
        <w:noProof/>
      </w:rPr>
      <w:drawing>
        <wp:inline distT="0" distB="0" distL="0" distR="0" wp14:anchorId="293291E2" wp14:editId="14135403">
          <wp:extent cx="2508250" cy="535308"/>
          <wp:effectExtent l="0" t="0" r="6350" b="0"/>
          <wp:docPr id="18" name="Bild 2" descr="https://intra.regionhalland.se/stod-och-service/information-och-kommunikation/logotyper/region-halland-huvudlogotype/Documents/Huvudlogotyp%20med%20devis%20i%20fä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ntra.regionhalland.se/stod-och-service/information-och-kommunikation/logotyper/region-halland-huvudlogotype/Documents/Huvudlogotyp%20med%20devis%20i%20fä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936" cy="568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96" w:rsidRDefault="002E0A96" w:rsidP="00332D94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3A3FCF" wp14:editId="76AEAE7B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2171CF" id="Rectangle 5" o:spid="_x0000_s1026" style="position:absolute;margin-left:378pt;margin-top:-15.55pt;width:62.65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IDHg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FtePMio5K&#10;9IVEE7YxiuVRnt75gqIe3QPGBL27B/ndMwvrlqLULSL0rRIVkZrE+OzFg2h4esq2/UeoCF3sAiSl&#10;DjV2EZA0YIdUkOO5IOoQmKTL+SK/ynPOJLkm87eLRSpYJornxw59eK+gY/FQciTqCVzs732IZETx&#10;HJLIg9HVRhuTDGy2a4NsL6g3Nmkl/pTjZZixrC/5Ip/mCfmFz/8dRKcDNbnRXcmvx3ENbRdVe2er&#10;1IJBaDOcibKxJxmjckMFtlAdSUWEoYNp4ujQAv7krKfuLbn/sROoODMfLFViMZnNYrsnY5bPp2Tg&#10;pWd76RFWElTJA2fDcR2GEdk51E1LP01S7hZuqXq1TsrGyg6sTmSpQ5Pgp2mKI3Bpp6hfM796AgAA&#10;//8DAFBLAwQUAAYACAAAACEAYZmHVt8AAAAKAQAADwAAAGRycy9kb3ducmV2LnhtbEyPwU7DMBBE&#10;70j8g7VI3FonFNooxKmgBHHhUNpy3zpLEmGvo9htU74e9wTH2RnNvimWozXiSIPvHCtIpwkIYu3q&#10;jhsFu+3rJAPhA3KNxjEpOJOHZXl9VWBeuxN/0HETGhFL2OeooA2hz6X0uiWLfup64uh9ucFiiHJo&#10;ZD3gKZZbI++SZC4tdhw/tNjTqiX9vTlYBWvEl/XPm9bP1fn9vqLVZ0XOKHV7Mz49ggg0hr8wXPAj&#10;OpSRae8OXHthFCwe5nFLUDCZpSmImMiydAZif7ksQJaF/D+h/AUAAP//AwBQSwECLQAUAAYACAAA&#10;ACEAtoM4kv4AAADhAQAAEwAAAAAAAAAAAAAAAAAAAAAAW0NvbnRlbnRfVHlwZXNdLnhtbFBLAQIt&#10;ABQABgAIAAAAIQA4/SH/1gAAAJQBAAALAAAAAAAAAAAAAAAAAC8BAABfcmVscy8ucmVsc1BLAQIt&#10;ABQABgAIAAAAIQC2KyIDHgIAADsEAAAOAAAAAAAAAAAAAAAAAC4CAABkcnMvZTJvRG9jLnhtbFBL&#10;AQItABQABgAIAAAAIQBhmYdW3wAAAAoBAAAPAAAAAAAAAAAAAAAAAHgEAABkcnMvZG93bnJldi54&#10;bWxQSwUGAAAAAAQABADzAAAAhAUAAAAA&#10;" strokecolor="white"/>
          </w:pict>
        </mc:Fallback>
      </mc:AlternateContent>
    </w:r>
  </w:p>
  <w:p w:rsidR="002E0A96" w:rsidRDefault="002E0A96" w:rsidP="00332D94">
    <w:pPr>
      <w:pStyle w:val="Sidhuvud"/>
    </w:pPr>
  </w:p>
  <w:p w:rsidR="002E0A96" w:rsidRDefault="002E0A96" w:rsidP="00332D94">
    <w:pPr>
      <w:pStyle w:val="Sidhuvud"/>
    </w:pPr>
  </w:p>
  <w:p w:rsidR="002E0A96" w:rsidRDefault="002E0A96" w:rsidP="00332D94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11B" w:rsidRDefault="0053311B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56E" w:rsidRDefault="00FA256E" w:rsidP="00332D94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A1F0BF" wp14:editId="379D9572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A2235B" id="Rectangle 7" o:spid="_x0000_s1026" style="position:absolute;margin-left:378pt;margin-top:-15.55pt;width:62.65pt;height:1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tFHwIAADsEAAAOAAAAZHJzL2Uyb0RvYy54bWysU1Fv0zAQfkfiP1h+p2m6dl2jptPUUYQ0&#10;YGLwA1zHSSwcnzm7Tcuv5+x0pYMXhPCD5fOdP3/33d3y9tAZtlfoNdiS56MxZ8pKqLRtSv71y+bN&#10;DWc+CFsJA1aV/Kg8v129frXsXaEm0IKpFDICsb7oXcnbEFyRZV62qhN+BE5ZctaAnQhkYpNVKHpC&#10;70w2GY+vsx6wcghSeU+394OTrxJ+XSsZPtW1V4GZkhO3kHZM+zbu2WopigaFa7U80RD/wKIT2tKn&#10;Z6h7EQTbof4DqtMSwUMdRhK6DOpaS5VyoGzy8W/ZPLXCqZQLiePdWSb//2Dlx/0jMl2V/IozKzoq&#10;0WcSTdjGKDaP8vTOFxT15B4xJujdA8hvnllYtxSl7hChb5WoiFQe47MXD6Lh6Snb9h+gInSxC5CU&#10;OtTYRUDSgB1SQY7ngqhDYJIu54vZ9WzGmSRXPr9aLFLBMlE8P3bowzsFHYuHkiNRT+Bi/+BDJCOK&#10;55BEHoyuNtqYZGCzXRtke0G9sUkr8accL8OMZX3JF7PJLCG/8Pm/g+h0oCY3uiv5zTiuoe2iam9t&#10;lVowCG2GM1E29iRjVG6owBaqI6mIMHQwTRwdWsAfnPXUvSX333cCFWfmvaVKLPLpNLZ7Mqaz+YQM&#10;vPRsLz3CSoIqeeBsOK7DMCI7h7pp6ac85W7hjqpX66RsrOzA6kSWOjQJfpqmOAKXdor6NfOrn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ZJr7RR8CAAA7BAAADgAAAAAAAAAAAAAAAAAuAgAAZHJzL2Uyb0RvYy54bWxQ&#10;SwECLQAUAAYACAAAACEAYZmHVt8AAAAKAQAADwAAAAAAAAAAAAAAAAB5BAAAZHJzL2Rvd25yZXYu&#10;eG1sUEsFBgAAAAAEAAQA8wAAAIUFAAAAAA==&#10;" strokecolor="white"/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11B" w:rsidRDefault="0053311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3BBF"/>
    <w:multiLevelType w:val="hybridMultilevel"/>
    <w:tmpl w:val="B38A6A70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D722F"/>
    <w:multiLevelType w:val="hybridMultilevel"/>
    <w:tmpl w:val="7D0EE7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1330C"/>
    <w:multiLevelType w:val="hybridMultilevel"/>
    <w:tmpl w:val="164C9EE8"/>
    <w:lvl w:ilvl="0" w:tplc="CDF4C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06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8D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7EE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69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981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67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CC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64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8F7FA5"/>
    <w:multiLevelType w:val="hybridMultilevel"/>
    <w:tmpl w:val="831890C4"/>
    <w:lvl w:ilvl="0" w:tplc="7CA07C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7B"/>
    <w:multiLevelType w:val="hybridMultilevel"/>
    <w:tmpl w:val="5802A396"/>
    <w:lvl w:ilvl="0" w:tplc="5C327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5567C1"/>
    <w:multiLevelType w:val="hybridMultilevel"/>
    <w:tmpl w:val="2B4A42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1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37728"/>
    <w:multiLevelType w:val="hybridMultilevel"/>
    <w:tmpl w:val="F61C4A6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82654B"/>
    <w:multiLevelType w:val="hybridMultilevel"/>
    <w:tmpl w:val="55B80AB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7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8" w15:restartNumberingAfterBreak="0">
    <w:nsid w:val="7C911AF3"/>
    <w:multiLevelType w:val="hybridMultilevel"/>
    <w:tmpl w:val="635070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16"/>
  </w:num>
  <w:num w:numId="2">
    <w:abstractNumId w:val="19"/>
  </w:num>
  <w:num w:numId="3">
    <w:abstractNumId w:val="17"/>
  </w:num>
  <w:num w:numId="4">
    <w:abstractNumId w:val="7"/>
  </w:num>
  <w:num w:numId="5">
    <w:abstractNumId w:val="10"/>
  </w:num>
  <w:num w:numId="6">
    <w:abstractNumId w:val="14"/>
  </w:num>
  <w:num w:numId="7">
    <w:abstractNumId w:val="3"/>
  </w:num>
  <w:num w:numId="8">
    <w:abstractNumId w:val="11"/>
  </w:num>
  <w:num w:numId="9">
    <w:abstractNumId w:val="13"/>
  </w:num>
  <w:num w:numId="10">
    <w:abstractNumId w:val="8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18"/>
  </w:num>
  <w:num w:numId="16">
    <w:abstractNumId w:val="8"/>
  </w:num>
  <w:num w:numId="17">
    <w:abstractNumId w:val="9"/>
  </w:num>
  <w:num w:numId="18">
    <w:abstractNumId w:val="6"/>
  </w:num>
  <w:num w:numId="19">
    <w:abstractNumId w:val="1"/>
  </w:num>
  <w:num w:numId="20">
    <w:abstractNumId w:val="5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F6"/>
    <w:rsid w:val="00007CDA"/>
    <w:rsid w:val="00016C9C"/>
    <w:rsid w:val="0002320B"/>
    <w:rsid w:val="00043447"/>
    <w:rsid w:val="00044C0E"/>
    <w:rsid w:val="000636E3"/>
    <w:rsid w:val="00063A36"/>
    <w:rsid w:val="00071811"/>
    <w:rsid w:val="00071C4D"/>
    <w:rsid w:val="00086C2F"/>
    <w:rsid w:val="00087B68"/>
    <w:rsid w:val="000940D8"/>
    <w:rsid w:val="000955D6"/>
    <w:rsid w:val="00096357"/>
    <w:rsid w:val="000A09B9"/>
    <w:rsid w:val="000B0C89"/>
    <w:rsid w:val="000B5371"/>
    <w:rsid w:val="000C3DCB"/>
    <w:rsid w:val="000C7154"/>
    <w:rsid w:val="000F75A6"/>
    <w:rsid w:val="00134AEA"/>
    <w:rsid w:val="001473F8"/>
    <w:rsid w:val="001504D3"/>
    <w:rsid w:val="001546A4"/>
    <w:rsid w:val="00167844"/>
    <w:rsid w:val="00176184"/>
    <w:rsid w:val="00177E79"/>
    <w:rsid w:val="001818F5"/>
    <w:rsid w:val="0018206E"/>
    <w:rsid w:val="0018398F"/>
    <w:rsid w:val="00185B47"/>
    <w:rsid w:val="00197CB9"/>
    <w:rsid w:val="001B0DF4"/>
    <w:rsid w:val="001C54B8"/>
    <w:rsid w:val="001E00AC"/>
    <w:rsid w:val="001E05CA"/>
    <w:rsid w:val="001E1505"/>
    <w:rsid w:val="001E6A25"/>
    <w:rsid w:val="001F496B"/>
    <w:rsid w:val="0021009E"/>
    <w:rsid w:val="002118EB"/>
    <w:rsid w:val="00211C95"/>
    <w:rsid w:val="00223AA6"/>
    <w:rsid w:val="00225E0B"/>
    <w:rsid w:val="0022753F"/>
    <w:rsid w:val="002439E5"/>
    <w:rsid w:val="00246F62"/>
    <w:rsid w:val="00255BDE"/>
    <w:rsid w:val="00271080"/>
    <w:rsid w:val="00274DA7"/>
    <w:rsid w:val="002A2A4D"/>
    <w:rsid w:val="002C3828"/>
    <w:rsid w:val="002C4BD0"/>
    <w:rsid w:val="002C58F9"/>
    <w:rsid w:val="002D0241"/>
    <w:rsid w:val="002D4C8B"/>
    <w:rsid w:val="002D627D"/>
    <w:rsid w:val="002E0A96"/>
    <w:rsid w:val="002F13E2"/>
    <w:rsid w:val="003035FE"/>
    <w:rsid w:val="00304D7D"/>
    <w:rsid w:val="00324F9D"/>
    <w:rsid w:val="00332D94"/>
    <w:rsid w:val="00345589"/>
    <w:rsid w:val="00350649"/>
    <w:rsid w:val="00363ECA"/>
    <w:rsid w:val="00370737"/>
    <w:rsid w:val="00375074"/>
    <w:rsid w:val="0039184F"/>
    <w:rsid w:val="003A2FF6"/>
    <w:rsid w:val="003A491C"/>
    <w:rsid w:val="003B2743"/>
    <w:rsid w:val="003C5B41"/>
    <w:rsid w:val="003D2710"/>
    <w:rsid w:val="003D6301"/>
    <w:rsid w:val="003E3B1E"/>
    <w:rsid w:val="003E537C"/>
    <w:rsid w:val="00406C20"/>
    <w:rsid w:val="0040719B"/>
    <w:rsid w:val="004223A0"/>
    <w:rsid w:val="00423816"/>
    <w:rsid w:val="004261F9"/>
    <w:rsid w:val="004411EB"/>
    <w:rsid w:val="00442A1E"/>
    <w:rsid w:val="004611DE"/>
    <w:rsid w:val="004625ED"/>
    <w:rsid w:val="0046268A"/>
    <w:rsid w:val="00475FED"/>
    <w:rsid w:val="00490ACE"/>
    <w:rsid w:val="00497242"/>
    <w:rsid w:val="004A1A87"/>
    <w:rsid w:val="004A4717"/>
    <w:rsid w:val="004B5342"/>
    <w:rsid w:val="004C5AED"/>
    <w:rsid w:val="004F3357"/>
    <w:rsid w:val="004F7569"/>
    <w:rsid w:val="005050F5"/>
    <w:rsid w:val="005140DE"/>
    <w:rsid w:val="005201E2"/>
    <w:rsid w:val="0052253F"/>
    <w:rsid w:val="0053311B"/>
    <w:rsid w:val="00572A3A"/>
    <w:rsid w:val="00591A26"/>
    <w:rsid w:val="005A6C22"/>
    <w:rsid w:val="005B17E9"/>
    <w:rsid w:val="005B2C50"/>
    <w:rsid w:val="005B406F"/>
    <w:rsid w:val="005B4A97"/>
    <w:rsid w:val="005C207E"/>
    <w:rsid w:val="005D151B"/>
    <w:rsid w:val="005F0205"/>
    <w:rsid w:val="005F08EC"/>
    <w:rsid w:val="005F5B7B"/>
    <w:rsid w:val="0061059F"/>
    <w:rsid w:val="00614116"/>
    <w:rsid w:val="006258B6"/>
    <w:rsid w:val="0062795F"/>
    <w:rsid w:val="00633C84"/>
    <w:rsid w:val="00646CBF"/>
    <w:rsid w:val="00647E41"/>
    <w:rsid w:val="006534D8"/>
    <w:rsid w:val="00655B63"/>
    <w:rsid w:val="00670C10"/>
    <w:rsid w:val="00670E5C"/>
    <w:rsid w:val="00692E84"/>
    <w:rsid w:val="00693B29"/>
    <w:rsid w:val="00695A26"/>
    <w:rsid w:val="00696200"/>
    <w:rsid w:val="006B2B7A"/>
    <w:rsid w:val="006B5EC1"/>
    <w:rsid w:val="006B6EB8"/>
    <w:rsid w:val="006C40A1"/>
    <w:rsid w:val="006C4A08"/>
    <w:rsid w:val="00713D71"/>
    <w:rsid w:val="00723658"/>
    <w:rsid w:val="00737C2F"/>
    <w:rsid w:val="00737EF2"/>
    <w:rsid w:val="0074069B"/>
    <w:rsid w:val="0074174A"/>
    <w:rsid w:val="00744031"/>
    <w:rsid w:val="0074692D"/>
    <w:rsid w:val="0075434E"/>
    <w:rsid w:val="0075659A"/>
    <w:rsid w:val="0076796D"/>
    <w:rsid w:val="0078071F"/>
    <w:rsid w:val="00782835"/>
    <w:rsid w:val="00786CE1"/>
    <w:rsid w:val="00790353"/>
    <w:rsid w:val="007A671E"/>
    <w:rsid w:val="007A6F5D"/>
    <w:rsid w:val="007B5193"/>
    <w:rsid w:val="007C13EF"/>
    <w:rsid w:val="007C24AF"/>
    <w:rsid w:val="007C5C37"/>
    <w:rsid w:val="007D121B"/>
    <w:rsid w:val="007E4F59"/>
    <w:rsid w:val="007E79F8"/>
    <w:rsid w:val="007F0B1C"/>
    <w:rsid w:val="007F1A38"/>
    <w:rsid w:val="008018BE"/>
    <w:rsid w:val="00811BB6"/>
    <w:rsid w:val="008160E0"/>
    <w:rsid w:val="00826083"/>
    <w:rsid w:val="00826C37"/>
    <w:rsid w:val="008520E1"/>
    <w:rsid w:val="00853FD2"/>
    <w:rsid w:val="00891092"/>
    <w:rsid w:val="008B077E"/>
    <w:rsid w:val="008B39F5"/>
    <w:rsid w:val="008D04CD"/>
    <w:rsid w:val="008D54E4"/>
    <w:rsid w:val="008D6A9E"/>
    <w:rsid w:val="008E070C"/>
    <w:rsid w:val="008E2482"/>
    <w:rsid w:val="008E55A9"/>
    <w:rsid w:val="008E6932"/>
    <w:rsid w:val="008F4F21"/>
    <w:rsid w:val="008F4FF9"/>
    <w:rsid w:val="008F5BCB"/>
    <w:rsid w:val="009001F7"/>
    <w:rsid w:val="00900994"/>
    <w:rsid w:val="009024F1"/>
    <w:rsid w:val="00903BFD"/>
    <w:rsid w:val="00904B5A"/>
    <w:rsid w:val="00910FDD"/>
    <w:rsid w:val="00916858"/>
    <w:rsid w:val="00926A7D"/>
    <w:rsid w:val="00931333"/>
    <w:rsid w:val="00935632"/>
    <w:rsid w:val="00940ED2"/>
    <w:rsid w:val="00953C82"/>
    <w:rsid w:val="00957392"/>
    <w:rsid w:val="009761F6"/>
    <w:rsid w:val="00976C47"/>
    <w:rsid w:val="009806F9"/>
    <w:rsid w:val="00980B6C"/>
    <w:rsid w:val="009872EE"/>
    <w:rsid w:val="0099033A"/>
    <w:rsid w:val="009A4B4A"/>
    <w:rsid w:val="009D5FFA"/>
    <w:rsid w:val="009D6E53"/>
    <w:rsid w:val="009D7DD4"/>
    <w:rsid w:val="009F185E"/>
    <w:rsid w:val="009F2402"/>
    <w:rsid w:val="009F6567"/>
    <w:rsid w:val="009F76CD"/>
    <w:rsid w:val="009F7A2E"/>
    <w:rsid w:val="00A02395"/>
    <w:rsid w:val="00A160D6"/>
    <w:rsid w:val="00A33719"/>
    <w:rsid w:val="00A8275B"/>
    <w:rsid w:val="00AA0CC7"/>
    <w:rsid w:val="00AA50B0"/>
    <w:rsid w:val="00AA5952"/>
    <w:rsid w:val="00AB0079"/>
    <w:rsid w:val="00AB14D2"/>
    <w:rsid w:val="00AB190D"/>
    <w:rsid w:val="00AB4B5D"/>
    <w:rsid w:val="00AC09E7"/>
    <w:rsid w:val="00AC38FD"/>
    <w:rsid w:val="00AC658B"/>
    <w:rsid w:val="00AD3EF7"/>
    <w:rsid w:val="00AE1B3E"/>
    <w:rsid w:val="00AF21B5"/>
    <w:rsid w:val="00AF743B"/>
    <w:rsid w:val="00B00394"/>
    <w:rsid w:val="00B0086C"/>
    <w:rsid w:val="00B039BD"/>
    <w:rsid w:val="00B03A16"/>
    <w:rsid w:val="00B203EC"/>
    <w:rsid w:val="00B2523E"/>
    <w:rsid w:val="00B33B28"/>
    <w:rsid w:val="00B367BD"/>
    <w:rsid w:val="00B45504"/>
    <w:rsid w:val="00B51BB3"/>
    <w:rsid w:val="00B53EFB"/>
    <w:rsid w:val="00B647E3"/>
    <w:rsid w:val="00B676F4"/>
    <w:rsid w:val="00B723ED"/>
    <w:rsid w:val="00B77695"/>
    <w:rsid w:val="00B81E59"/>
    <w:rsid w:val="00B91893"/>
    <w:rsid w:val="00B91D99"/>
    <w:rsid w:val="00BB5A75"/>
    <w:rsid w:val="00BB680F"/>
    <w:rsid w:val="00BD0566"/>
    <w:rsid w:val="00BD31C6"/>
    <w:rsid w:val="00C01966"/>
    <w:rsid w:val="00C1580D"/>
    <w:rsid w:val="00C17C7F"/>
    <w:rsid w:val="00C17F9A"/>
    <w:rsid w:val="00C20A69"/>
    <w:rsid w:val="00C43323"/>
    <w:rsid w:val="00C57F15"/>
    <w:rsid w:val="00C6191C"/>
    <w:rsid w:val="00C6197E"/>
    <w:rsid w:val="00C7284D"/>
    <w:rsid w:val="00C77B23"/>
    <w:rsid w:val="00C818E3"/>
    <w:rsid w:val="00CA050E"/>
    <w:rsid w:val="00CA74D0"/>
    <w:rsid w:val="00CB3BB1"/>
    <w:rsid w:val="00CC0153"/>
    <w:rsid w:val="00CC1560"/>
    <w:rsid w:val="00CC6619"/>
    <w:rsid w:val="00CD2DA0"/>
    <w:rsid w:val="00CE5E00"/>
    <w:rsid w:val="00D00825"/>
    <w:rsid w:val="00D0397B"/>
    <w:rsid w:val="00D05E91"/>
    <w:rsid w:val="00D072F2"/>
    <w:rsid w:val="00D15C2C"/>
    <w:rsid w:val="00D20E59"/>
    <w:rsid w:val="00D24A56"/>
    <w:rsid w:val="00D31D24"/>
    <w:rsid w:val="00D37FED"/>
    <w:rsid w:val="00D550AD"/>
    <w:rsid w:val="00D67040"/>
    <w:rsid w:val="00D8523B"/>
    <w:rsid w:val="00D93A1E"/>
    <w:rsid w:val="00D975E4"/>
    <w:rsid w:val="00DA3A42"/>
    <w:rsid w:val="00DC21B8"/>
    <w:rsid w:val="00DC3B99"/>
    <w:rsid w:val="00DD12E6"/>
    <w:rsid w:val="00DD2DDE"/>
    <w:rsid w:val="00DE2C03"/>
    <w:rsid w:val="00DE547D"/>
    <w:rsid w:val="00DE5BF0"/>
    <w:rsid w:val="00DE5CFC"/>
    <w:rsid w:val="00E003AD"/>
    <w:rsid w:val="00E03E34"/>
    <w:rsid w:val="00E05CDF"/>
    <w:rsid w:val="00E457B3"/>
    <w:rsid w:val="00E521D7"/>
    <w:rsid w:val="00E603B8"/>
    <w:rsid w:val="00E71832"/>
    <w:rsid w:val="00E71E8A"/>
    <w:rsid w:val="00E83A80"/>
    <w:rsid w:val="00E86A48"/>
    <w:rsid w:val="00E9433D"/>
    <w:rsid w:val="00EA3323"/>
    <w:rsid w:val="00EC5D5C"/>
    <w:rsid w:val="00ED05D4"/>
    <w:rsid w:val="00F01D75"/>
    <w:rsid w:val="00F05519"/>
    <w:rsid w:val="00F271B8"/>
    <w:rsid w:val="00F5499B"/>
    <w:rsid w:val="00F730FF"/>
    <w:rsid w:val="00F745A7"/>
    <w:rsid w:val="00F813CC"/>
    <w:rsid w:val="00F85BE6"/>
    <w:rsid w:val="00FA256E"/>
    <w:rsid w:val="00FB22AF"/>
    <w:rsid w:val="00FB4BD5"/>
    <w:rsid w:val="00FD1BCE"/>
    <w:rsid w:val="00FD6E86"/>
    <w:rsid w:val="00FD7684"/>
    <w:rsid w:val="00FE41C3"/>
    <w:rsid w:val="00FE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1A2C53"/>
  <w15:docId w15:val="{8ED5C5EF-7D25-47E7-8A8A-B88DFE71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E83A80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customStyle="1" w:styleId="RubrikChar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Standardstycketeckensnitt"/>
    <w:link w:val="Rubrik1"/>
    <w:rsid w:val="004A1A87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F730FF"/>
    <w:rPr>
      <w:rFonts w:ascii="Arial" w:hAnsi="Arial" w:cs="Arial"/>
      <w:sz w:val="22"/>
      <w:szCs w:val="26"/>
    </w:rPr>
  </w:style>
  <w:style w:type="character" w:styleId="Kommentarsreferens">
    <w:name w:val="annotation reference"/>
    <w:basedOn w:val="Standardstycketeckensnitt"/>
    <w:semiHidden/>
    <w:unhideWhenUsed/>
    <w:rsid w:val="00C57F15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C57F1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C57F15"/>
    <w:rPr>
      <w:rFonts w:ascii="Arial" w:hAnsi="Arial" w:cs="Arial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C57F15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C57F15"/>
    <w:rPr>
      <w:rFonts w:ascii="Arial" w:hAnsi="Arial" w:cs="Arial"/>
      <w:b/>
      <w:bCs/>
    </w:rPr>
  </w:style>
  <w:style w:type="character" w:styleId="AnvndHyperlnk">
    <w:name w:val="FollowedHyperlink"/>
    <w:basedOn w:val="Standardstycketeckensnitt"/>
    <w:semiHidden/>
    <w:unhideWhenUsed/>
    <w:rsid w:val="000C7154"/>
    <w:rPr>
      <w:color w:val="800080" w:themeColor="followedHyperlink"/>
      <w:u w:val="single"/>
    </w:rPr>
  </w:style>
  <w:style w:type="paragraph" w:styleId="Brdtext">
    <w:name w:val="Body Text"/>
    <w:basedOn w:val="Normal"/>
    <w:link w:val="BrdtextChar"/>
    <w:semiHidden/>
    <w:unhideWhenUsed/>
    <w:rsid w:val="002F13E2"/>
    <w:pPr>
      <w:spacing w:before="100" w:after="120" w:line="300" w:lineRule="atLeast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BrdtextChar">
    <w:name w:val="Brödtext Char"/>
    <w:basedOn w:val="Standardstycketeckensnitt"/>
    <w:link w:val="Brdtext"/>
    <w:semiHidden/>
    <w:rsid w:val="002F13E2"/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yperlink" Target="https://styrdadokument.regionhalland.se/doc/1494D89E-EBAD-404F-9152-63AEC2F74A3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styrdadokument.regionhalland.se/doc/A0B25358-5121-4E8F-98C0-635D3529924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ardgivare.regionhalland.se/app/uploads/2020/10/Mottagare-av-Meddelanden-f&#246;r-Enstaka-hembes&#246;k-och-initiering-Hemsjukv&#229;rd.pdf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vardgivare.regionhalland.se/app/uploads/2020/11/Manual-Kommunen-Enstaka-hembesok-och-In-och-utskrivning-i-hemsjukvard.doc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ardgivare.regionhalland.se/app/uploads/2020/11/Manual-narsjukvard-psyk-OV-Enstaka-hembesok-och-In-o-utskrivning-fran-hemsjukvard.docx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5583289389B84F9D2533801BFEC719" ma:contentTypeVersion="4" ma:contentTypeDescription="Skapa ett nytt dokument." ma:contentTypeScope="" ma:versionID="b4650f8f816c6338630f2a0a0949ff3e">
  <xsd:schema xmlns:xsd="http://www.w3.org/2001/XMLSchema" xmlns:xs="http://www.w3.org/2001/XMLSchema" xmlns:p="http://schemas.microsoft.com/office/2006/metadata/properties" xmlns:ns2="b094d538-ad02-41d0-af9c-a0a7d884a40c" xmlns:ns3="24c4b748-c837-4b49-bc83-0a5a1298820e" targetNamespace="http://schemas.microsoft.com/office/2006/metadata/properties" ma:root="true" ma:fieldsID="da186193f85c498b70732a7bbab054a6" ns2:_="" ns3:_="">
    <xsd:import namespace="b094d538-ad02-41d0-af9c-a0a7d884a40c"/>
    <xsd:import namespace="24c4b748-c837-4b49-bc83-0a5a12988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538-ad02-41d0-af9c-a0a7d884a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4b748-c837-4b49-bc83-0a5a12988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6A869-F032-41F2-B112-37A19C979E2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BAFC6-34E0-4452-82CF-A6F462CAE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4d538-ad02-41d0-af9c-a0a7d884a40c"/>
    <ds:schemaRef ds:uri="24c4b748-c837-4b49-bc83-0a5a12988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660DAC-2167-4800-A9A2-9802F1E5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Rutin</vt:lpstr>
      <vt:lpstr>Innehållsmall styrda dokument (grunddokument)</vt:lpstr>
    </vt:vector>
  </TitlesOfParts>
  <Company>Microsoft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</dc:title>
  <dc:subject/>
  <dc:creator>Britta Engvall</dc:creator>
  <cp:keywords/>
  <dc:description/>
  <cp:lastModifiedBy>Rothoff Lindh Maria RK STAB</cp:lastModifiedBy>
  <cp:revision>2</cp:revision>
  <cp:lastPrinted>2021-05-03T06:49:00Z</cp:lastPrinted>
  <dcterms:created xsi:type="dcterms:W3CDTF">2021-05-28T14:23:00Z</dcterms:created>
  <dcterms:modified xsi:type="dcterms:W3CDTF">2021-05-28T14:23:00Z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0x0101009A5583289389B84F9D2533801BFEC719</vt:lpwstr>
  </property>
  <property fmtid="{D5CDD505-2E9C-101B-9397-08002B2CF9AE}" pid="3" name="FSCD_DocumentType">
    <vt:lpwstr>1;#Rutin|3ecd4889-b546-4b08-8daf-345ed6a301ab</vt:lpwstr>
  </property>
  <property fmtid="{D5CDD505-2E9C-101B-9397-08002B2CF9AE}" pid="4" name="_dlc_DocIdItemGuid">
    <vt:lpwstr>5afde273-b9ed-4a6f-b6f6-019a9dd56500</vt:lpwstr>
  </property>
</Properties>
</file>