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F6" w:rsidRDefault="00F223F6">
      <w:pPr>
        <w:rPr>
          <w:b/>
          <w:sz w:val="28"/>
          <w:szCs w:val="28"/>
        </w:rPr>
      </w:pPr>
    </w:p>
    <w:p w:rsidR="00F223F6" w:rsidRDefault="009F5B6B">
      <w:pPr>
        <w:rPr>
          <w:b/>
          <w:sz w:val="28"/>
          <w:szCs w:val="28"/>
        </w:rPr>
      </w:pPr>
      <w:r>
        <w:rPr>
          <w:b/>
          <w:sz w:val="28"/>
          <w:szCs w:val="28"/>
        </w:rPr>
        <w:t>Färger i bokningslistan</w:t>
      </w:r>
    </w:p>
    <w:p w:rsidR="009F5B6B" w:rsidRPr="00BF6DAF" w:rsidRDefault="009F5B6B">
      <w:pPr>
        <w:rPr>
          <w:b/>
          <w:sz w:val="28"/>
          <w:szCs w:val="28"/>
        </w:rPr>
      </w:pPr>
    </w:p>
    <w:p w:rsidR="00A21A4F" w:rsidRDefault="009F5B6B">
      <w:pPr>
        <w:rPr>
          <w:sz w:val="24"/>
          <w:szCs w:val="24"/>
        </w:rPr>
      </w:pPr>
      <w:r>
        <w:rPr>
          <w:noProof/>
          <w:lang w:eastAsia="sv-SE"/>
        </w:rPr>
        <w:drawing>
          <wp:inline distT="0" distB="0" distL="0" distR="0" wp14:anchorId="273E4428" wp14:editId="1AC98807">
            <wp:extent cx="4200525" cy="747820"/>
            <wp:effectExtent l="0" t="0" r="0" b="0"/>
            <wp:docPr id="2"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5756" cy="750532"/>
                    </a:xfrm>
                    <a:prstGeom prst="rect">
                      <a:avLst/>
                    </a:prstGeom>
                  </pic:spPr>
                </pic:pic>
              </a:graphicData>
            </a:graphic>
          </wp:inline>
        </w:drawing>
      </w:r>
    </w:p>
    <w:p w:rsidR="009F5B6B" w:rsidRDefault="009F5B6B" w:rsidP="009F5B6B">
      <w:r>
        <w:t>Den bruna färgen för ”Interntid” är inte aktuell för bokningsflödet som används.</w:t>
      </w:r>
    </w:p>
    <w:p w:rsidR="009F5B6B" w:rsidRPr="00BF6DAF" w:rsidRDefault="009F5B6B">
      <w:pPr>
        <w:rPr>
          <w:sz w:val="24"/>
          <w:szCs w:val="24"/>
        </w:rPr>
      </w:pPr>
    </w:p>
    <w:p w:rsidR="0074141C" w:rsidRPr="00BF6DAF" w:rsidRDefault="00135AAC">
      <w:pPr>
        <w:rPr>
          <w:sz w:val="24"/>
          <w:szCs w:val="24"/>
        </w:rPr>
      </w:pPr>
      <w:r>
        <w:rPr>
          <w:sz w:val="24"/>
          <w:szCs w:val="24"/>
        </w:rPr>
        <w:t>1</w:t>
      </w:r>
      <w:r w:rsidR="00304180">
        <w:rPr>
          <w:sz w:val="24"/>
          <w:szCs w:val="24"/>
        </w:rPr>
        <w:t xml:space="preserve">. </w:t>
      </w:r>
      <w:r w:rsidR="009F5B6B">
        <w:t xml:space="preserve">När en bokning görs, oavsett om den görs internt från MVJ eller från webbokningen, blir den </w:t>
      </w:r>
      <w:r w:rsidR="009F5B6B" w:rsidRPr="009F5B6B">
        <w:rPr>
          <w:b/>
        </w:rPr>
        <w:t>rosa</w:t>
      </w:r>
      <w:r w:rsidR="009F5B6B">
        <w:t>:</w:t>
      </w:r>
    </w:p>
    <w:p w:rsidR="0074141C" w:rsidRDefault="009F5B6B">
      <w:pPr>
        <w:rPr>
          <w:sz w:val="24"/>
          <w:szCs w:val="24"/>
        </w:rPr>
      </w:pPr>
      <w:r>
        <w:rPr>
          <w:noProof/>
          <w:lang w:eastAsia="sv-SE"/>
        </w:rPr>
        <w:drawing>
          <wp:inline distT="0" distB="0" distL="0" distR="0" wp14:anchorId="4A366490" wp14:editId="23BCD4A9">
            <wp:extent cx="1801744" cy="990600"/>
            <wp:effectExtent l="0" t="0" r="8255" b="0"/>
            <wp:docPr id="18"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11102" cy="995745"/>
                    </a:xfrm>
                    <a:prstGeom prst="rect">
                      <a:avLst/>
                    </a:prstGeom>
                  </pic:spPr>
                </pic:pic>
              </a:graphicData>
            </a:graphic>
          </wp:inline>
        </w:drawing>
      </w:r>
    </w:p>
    <w:p w:rsidR="009F5B6B" w:rsidRPr="00BF6DAF" w:rsidRDefault="009F5B6B">
      <w:pPr>
        <w:rPr>
          <w:sz w:val="24"/>
          <w:szCs w:val="24"/>
        </w:rPr>
      </w:pPr>
    </w:p>
    <w:p w:rsidR="00250C7F" w:rsidRDefault="00304180">
      <w:pPr>
        <w:rPr>
          <w:sz w:val="24"/>
          <w:szCs w:val="24"/>
        </w:rPr>
      </w:pPr>
      <w:r>
        <w:rPr>
          <w:sz w:val="24"/>
          <w:szCs w:val="24"/>
        </w:rPr>
        <w:t>2</w:t>
      </w:r>
      <w:r w:rsidR="0074141C" w:rsidRPr="00BF6DAF">
        <w:rPr>
          <w:sz w:val="24"/>
          <w:szCs w:val="24"/>
        </w:rPr>
        <w:t xml:space="preserve">. </w:t>
      </w:r>
      <w:r w:rsidR="009F5B6B">
        <w:t xml:space="preserve">När en person kommer för att vaccinera och man väljer valet ”Ankomstregistrera” blir kortet </w:t>
      </w:r>
      <w:r w:rsidR="009F5B6B" w:rsidRPr="009F5B6B">
        <w:rPr>
          <w:b/>
        </w:rPr>
        <w:t>gult</w:t>
      </w:r>
      <w:r w:rsidR="009F5B6B">
        <w:t>:</w:t>
      </w:r>
      <w:r w:rsidR="009F5B6B">
        <w:br/>
      </w:r>
    </w:p>
    <w:p w:rsidR="003A1DCD" w:rsidRDefault="009F5B6B">
      <w:pPr>
        <w:rPr>
          <w:sz w:val="24"/>
          <w:szCs w:val="24"/>
        </w:rPr>
      </w:pPr>
      <w:r>
        <w:rPr>
          <w:noProof/>
          <w:lang w:eastAsia="sv-SE"/>
        </w:rPr>
        <w:drawing>
          <wp:inline distT="0" distB="0" distL="0" distR="0" wp14:anchorId="49DCE500" wp14:editId="3A4A1435">
            <wp:extent cx="1838325" cy="1004128"/>
            <wp:effectExtent l="0" t="0" r="0" b="5715"/>
            <wp:docPr id="19"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848462" cy="1009665"/>
                    </a:xfrm>
                    <a:prstGeom prst="rect">
                      <a:avLst/>
                    </a:prstGeom>
                  </pic:spPr>
                </pic:pic>
              </a:graphicData>
            </a:graphic>
          </wp:inline>
        </w:drawing>
      </w:r>
      <w:r w:rsidR="00357386">
        <w:rPr>
          <w:sz w:val="24"/>
          <w:szCs w:val="24"/>
        </w:rPr>
        <w:t xml:space="preserve">         </w:t>
      </w:r>
    </w:p>
    <w:p w:rsidR="00357386" w:rsidRDefault="00357386">
      <w:pPr>
        <w:rPr>
          <w:sz w:val="24"/>
          <w:szCs w:val="24"/>
        </w:rPr>
      </w:pPr>
    </w:p>
    <w:p w:rsidR="009F5B6B" w:rsidRDefault="00357386">
      <w:r>
        <w:rPr>
          <w:sz w:val="24"/>
          <w:szCs w:val="24"/>
        </w:rPr>
        <w:t xml:space="preserve">3. </w:t>
      </w:r>
      <w:r w:rsidR="009F5B6B">
        <w:t xml:space="preserve">Vid påbörjad vaccination genom att välja ”Starta vaccination” blir kortet </w:t>
      </w:r>
      <w:r w:rsidR="009F5B6B" w:rsidRPr="009F5B6B">
        <w:rPr>
          <w:b/>
        </w:rPr>
        <w:t>blått</w:t>
      </w:r>
      <w:r w:rsidR="009F5B6B">
        <w:t xml:space="preserve">, </w:t>
      </w:r>
      <w:proofErr w:type="gramStart"/>
      <w:r w:rsidR="009F5B6B">
        <w:t>tex</w:t>
      </w:r>
      <w:proofErr w:type="gramEnd"/>
      <w:r w:rsidR="009F5B6B">
        <w:t xml:space="preserve"> när man ordinerar:</w:t>
      </w:r>
    </w:p>
    <w:p w:rsidR="009F5B6B" w:rsidRDefault="009F5B6B">
      <w:pPr>
        <w:rPr>
          <w:sz w:val="24"/>
          <w:szCs w:val="24"/>
        </w:rPr>
      </w:pPr>
      <w:r>
        <w:rPr>
          <w:noProof/>
          <w:lang w:eastAsia="sv-SE"/>
        </w:rPr>
        <w:drawing>
          <wp:inline distT="0" distB="0" distL="0" distR="0" wp14:anchorId="02EE8D5B" wp14:editId="14B19A8D">
            <wp:extent cx="1924050" cy="993567"/>
            <wp:effectExtent l="0" t="0" r="0" b="0"/>
            <wp:docPr id="20"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938497" cy="1001027"/>
                    </a:xfrm>
                    <a:prstGeom prst="rect">
                      <a:avLst/>
                    </a:prstGeom>
                  </pic:spPr>
                </pic:pic>
              </a:graphicData>
            </a:graphic>
          </wp:inline>
        </w:drawing>
      </w:r>
      <w:r>
        <w:br/>
      </w:r>
    </w:p>
    <w:p w:rsidR="009F5B6B" w:rsidRDefault="009F5B6B" w:rsidP="009F5B6B">
      <w:r>
        <w:t xml:space="preserve">(Om man </w:t>
      </w:r>
      <w:proofErr w:type="spellStart"/>
      <w:r>
        <w:t>ankomstregistrerar</w:t>
      </w:r>
      <w:proofErr w:type="spellEnd"/>
      <w:r>
        <w:t xml:space="preserve"> en person </w:t>
      </w:r>
      <w:r w:rsidRPr="00DF55A2">
        <w:rPr>
          <w:i/>
          <w:iCs/>
        </w:rPr>
        <w:t>efter</w:t>
      </w:r>
      <w:r>
        <w:t xml:space="preserve"> att man startat vaccination kommer den blå färgen INTE att ändras till gul.)</w:t>
      </w:r>
    </w:p>
    <w:p w:rsidR="00357386" w:rsidRPr="009F5B6B" w:rsidRDefault="00357386" w:rsidP="009F5B6B">
      <w:pPr>
        <w:rPr>
          <w:sz w:val="24"/>
          <w:szCs w:val="24"/>
        </w:rPr>
      </w:pPr>
    </w:p>
    <w:p w:rsidR="00357386" w:rsidRDefault="00357386">
      <w:pPr>
        <w:rPr>
          <w:sz w:val="24"/>
          <w:szCs w:val="24"/>
        </w:rPr>
      </w:pPr>
    </w:p>
    <w:p w:rsidR="00304180" w:rsidRPr="00BF6DAF" w:rsidRDefault="00304180">
      <w:pPr>
        <w:rPr>
          <w:sz w:val="24"/>
          <w:szCs w:val="24"/>
        </w:rPr>
      </w:pPr>
    </w:p>
    <w:p w:rsidR="009F5B6B" w:rsidRDefault="00250C7F" w:rsidP="009F5B6B">
      <w:r w:rsidRPr="009F5B6B">
        <w:rPr>
          <w:sz w:val="24"/>
          <w:szCs w:val="24"/>
        </w:rPr>
        <w:t xml:space="preserve">4. </w:t>
      </w:r>
      <w:r w:rsidR="009F5B6B">
        <w:t>När man väljer ”Slutför vaccination”</w:t>
      </w:r>
      <w:r w:rsidR="009F5B6B">
        <w:t xml:space="preserve"> blir kortet </w:t>
      </w:r>
      <w:r w:rsidR="009F5B6B" w:rsidRPr="009F5B6B">
        <w:rPr>
          <w:b/>
        </w:rPr>
        <w:t>grönt</w:t>
      </w:r>
    </w:p>
    <w:p w:rsidR="003A1DCD" w:rsidRDefault="009F5B6B" w:rsidP="00250C7F">
      <w:pPr>
        <w:rPr>
          <w:b/>
          <w:sz w:val="24"/>
          <w:szCs w:val="24"/>
        </w:rPr>
      </w:pPr>
      <w:r>
        <w:rPr>
          <w:noProof/>
          <w:lang w:eastAsia="sv-SE"/>
        </w:rPr>
        <w:drawing>
          <wp:inline distT="0" distB="0" distL="0" distR="0" wp14:anchorId="38C77639" wp14:editId="570F49D0">
            <wp:extent cx="1943100" cy="967584"/>
            <wp:effectExtent l="0" t="0" r="0" b="4445"/>
            <wp:docPr id="23"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950522" cy="971280"/>
                    </a:xfrm>
                    <a:prstGeom prst="rect">
                      <a:avLst/>
                    </a:prstGeom>
                  </pic:spPr>
                </pic:pic>
              </a:graphicData>
            </a:graphic>
          </wp:inline>
        </w:drawing>
      </w:r>
    </w:p>
    <w:p w:rsidR="00A21A4F" w:rsidRDefault="00A21A4F" w:rsidP="00250C7F">
      <w:pPr>
        <w:rPr>
          <w:b/>
          <w:sz w:val="24"/>
          <w:szCs w:val="24"/>
        </w:rPr>
      </w:pPr>
    </w:p>
    <w:p w:rsidR="009F5B6B" w:rsidRDefault="009F5B6B" w:rsidP="009F5B6B">
      <w:r>
        <w:t>Kriteriet för att en bokning ska bli grön är att ett vaccination</w:t>
      </w:r>
      <w:r>
        <w:t>s-</w:t>
      </w:r>
      <w:r>
        <w:t xml:space="preserve">id kopplas till alla personer som finns på bokningen. </w:t>
      </w:r>
      <w:r w:rsidRPr="7CE8D04C">
        <w:rPr>
          <w:i/>
          <w:iCs/>
        </w:rPr>
        <w:t>I vissa fall har vi sett att kopplingen inte har gått igenom trots att allt i databasen pekat på att bokningarna ser ”korrekt” ut och borde ha blivit gröna. Vi önskar därför få in ärenden som gärna steg för steg beskriver hur man har gjort när färgerna inte uppvisas enligt förväntan så att vi kan felsöka och rätta eventuell bugg</w:t>
      </w:r>
      <w:r>
        <w:t>.</w:t>
      </w:r>
    </w:p>
    <w:p w:rsidR="009F5B6B" w:rsidRPr="00C64B85" w:rsidRDefault="009F5B6B" w:rsidP="009F5B6B"/>
    <w:p w:rsidR="009F5B6B" w:rsidRDefault="009F5B6B" w:rsidP="009F5B6B">
      <w:r w:rsidRPr="009F5B6B">
        <w:rPr>
          <w:b/>
        </w:rPr>
        <w:t>OBS!</w:t>
      </w:r>
      <w:r>
        <w:t xml:space="preserve"> Reglerna för färgändring gäller en specifik bokning. En person/kund kan ha flera bokningar på olika datum. Det blir då viktigt att man arbetar med Kunden på dagens datum som man avser vaccinera. Om man öppnar en bokning för personen på en annan dag än dagens datum kommer inte färgerna på dagens bokning att följa färgreglerna.</w:t>
      </w:r>
    </w:p>
    <w:p w:rsidR="009F5B6B" w:rsidRDefault="009F5B6B" w:rsidP="00250C7F">
      <w:pPr>
        <w:rPr>
          <w:b/>
          <w:sz w:val="24"/>
          <w:szCs w:val="24"/>
        </w:rPr>
      </w:pPr>
    </w:p>
    <w:p w:rsidR="00A21A4F" w:rsidRPr="00227193" w:rsidRDefault="00A21A4F" w:rsidP="00250C7F">
      <w:pPr>
        <w:rPr>
          <w:sz w:val="24"/>
          <w:szCs w:val="24"/>
        </w:rPr>
      </w:pPr>
      <w:bookmarkStart w:id="0" w:name="_GoBack"/>
      <w:bookmarkEnd w:id="0"/>
    </w:p>
    <w:sectPr w:rsidR="00A21A4F" w:rsidRPr="00227193" w:rsidSect="00F223F6">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F0" w:rsidRDefault="008E0AF0" w:rsidP="00F223F6">
      <w:pPr>
        <w:spacing w:after="0" w:line="240" w:lineRule="auto"/>
      </w:pPr>
      <w:r>
        <w:separator/>
      </w:r>
    </w:p>
  </w:endnote>
  <w:endnote w:type="continuationSeparator" w:id="0">
    <w:p w:rsidR="008E0AF0" w:rsidRDefault="008E0AF0" w:rsidP="00F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F6" w:rsidRDefault="00F223F6" w:rsidP="00F223F6">
    <w:pPr>
      <w:pStyle w:val="Punktlista"/>
      <w:numPr>
        <w:ilvl w:val="0"/>
        <w:numId w:val="0"/>
      </w:numPr>
    </w:pPr>
    <w:r>
      <w:t>MittVacc</w:t>
    </w:r>
    <w:r w:rsidR="002C7D64">
      <w:t>in – Objekt Läkemedel 2021-05-28</w:t>
    </w:r>
    <w:r>
      <w:t xml:space="preserve"> </w:t>
    </w:r>
  </w:p>
  <w:p w:rsidR="00F223F6" w:rsidRDefault="00F223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F6" w:rsidRDefault="00F223F6" w:rsidP="00F223F6">
    <w:pPr>
      <w:pStyle w:val="Punktlista"/>
      <w:numPr>
        <w:ilvl w:val="0"/>
        <w:numId w:val="0"/>
      </w:numPr>
    </w:pPr>
    <w:r>
      <w:t>MittVaccin – Objekt Läkemedel 2021-</w:t>
    </w:r>
    <w:r w:rsidR="00EF75E4">
      <w:t>05-28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F0" w:rsidRDefault="008E0AF0" w:rsidP="00F223F6">
      <w:pPr>
        <w:spacing w:after="0" w:line="240" w:lineRule="auto"/>
      </w:pPr>
      <w:r>
        <w:separator/>
      </w:r>
    </w:p>
  </w:footnote>
  <w:footnote w:type="continuationSeparator" w:id="0">
    <w:p w:rsidR="008E0AF0" w:rsidRDefault="008E0AF0" w:rsidP="00F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F223F6" w:rsidTr="00BB7065">
      <w:tc>
        <w:tcPr>
          <w:tcW w:w="2500" w:type="pct"/>
        </w:tcPr>
        <w:p w:rsidR="00F223F6" w:rsidRDefault="00F223F6" w:rsidP="00F223F6">
          <w:pPr>
            <w:pStyle w:val="Sidhuvud"/>
            <w:jc w:val="right"/>
          </w:pPr>
          <w:r>
            <w:fldChar w:fldCharType="begin"/>
          </w:r>
          <w:r>
            <w:instrText>PAGE   \* MERGEFORMAT</w:instrText>
          </w:r>
          <w:r>
            <w:fldChar w:fldCharType="separate"/>
          </w:r>
          <w:r w:rsidR="009F5B6B">
            <w:rPr>
              <w:noProof/>
            </w:rPr>
            <w:t>2</w:t>
          </w:r>
          <w:r>
            <w:fldChar w:fldCharType="end"/>
          </w:r>
          <w:r>
            <w:rPr>
              <w:bCs/>
            </w:rPr>
            <w:t> </w:t>
          </w:r>
          <w:r>
            <w:t>(</w:t>
          </w:r>
          <w:fldSimple w:instr=" NUMPAGES  \* Arabic  \* MERGEFORMAT ">
            <w:r w:rsidR="009F5B6B">
              <w:rPr>
                <w:noProof/>
              </w:rPr>
              <w:t>2</w:t>
            </w:r>
          </w:fldSimple>
          <w:r>
            <w:t>)</w:t>
          </w:r>
        </w:p>
      </w:tc>
    </w:tr>
  </w:tbl>
  <w:p w:rsidR="00F223F6" w:rsidRDefault="00F223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F6" w:rsidRDefault="00F223F6">
    <w:pPr>
      <w:pStyle w:val="Sidhuvud"/>
    </w:pPr>
    <w:r>
      <w:rPr>
        <w:noProof/>
        <w:lang w:eastAsia="sv-SE"/>
      </w:rPr>
      <w:drawing>
        <wp:anchor distT="0" distB="0" distL="114300" distR="114300" simplePos="0" relativeHeight="251659264" behindDoc="0" locked="1" layoutInCell="1" allowOverlap="1" wp14:anchorId="1597EE26" wp14:editId="6BF8FBD7">
          <wp:simplePos x="0" y="0"/>
          <wp:positionH relativeFrom="page">
            <wp:posOffset>411480</wp:posOffset>
          </wp:positionH>
          <wp:positionV relativeFrom="page">
            <wp:posOffset>551180</wp:posOffset>
          </wp:positionV>
          <wp:extent cx="1976120" cy="424180"/>
          <wp:effectExtent l="0" t="0" r="508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120" cy="42418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F223F6" w:rsidTr="00BB7065">
      <w:tc>
        <w:tcPr>
          <w:tcW w:w="2500" w:type="pct"/>
        </w:tcPr>
        <w:p w:rsidR="00F223F6" w:rsidRDefault="00F223F6" w:rsidP="00F223F6">
          <w:pPr>
            <w:pStyle w:val="Sidhuvud"/>
            <w:jc w:val="right"/>
          </w:pPr>
          <w:r>
            <w:fldChar w:fldCharType="begin"/>
          </w:r>
          <w:r>
            <w:instrText>PAGE   \* MERGEFORMAT</w:instrText>
          </w:r>
          <w:r>
            <w:fldChar w:fldCharType="separate"/>
          </w:r>
          <w:r w:rsidR="009F5B6B">
            <w:rPr>
              <w:noProof/>
            </w:rPr>
            <w:t>1</w:t>
          </w:r>
          <w:r>
            <w:fldChar w:fldCharType="end"/>
          </w:r>
          <w:r>
            <w:rPr>
              <w:bCs/>
            </w:rPr>
            <w:t> </w:t>
          </w:r>
          <w:r>
            <w:t>(</w:t>
          </w:r>
          <w:fldSimple w:instr=" NUMPAGES  \* Arabic  \* MERGEFORMAT ">
            <w:r w:rsidR="009F5B6B">
              <w:rPr>
                <w:noProof/>
              </w:rPr>
              <w:t>2</w:t>
            </w:r>
          </w:fldSimple>
          <w:r>
            <w:t>)</w:t>
          </w:r>
        </w:p>
      </w:tc>
    </w:tr>
  </w:tbl>
  <w:p w:rsidR="00F223F6" w:rsidRDefault="00F223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8895D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6DE0451"/>
    <w:multiLevelType w:val="hybridMultilevel"/>
    <w:tmpl w:val="5A2CD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6F285C"/>
    <w:multiLevelType w:val="hybridMultilevel"/>
    <w:tmpl w:val="1C28B3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9794004"/>
    <w:multiLevelType w:val="hybridMultilevel"/>
    <w:tmpl w:val="869A656C"/>
    <w:lvl w:ilvl="0" w:tplc="041D000F">
      <w:start w:val="4"/>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5D5C67C8"/>
    <w:multiLevelType w:val="hybridMultilevel"/>
    <w:tmpl w:val="2E4C80CE"/>
    <w:lvl w:ilvl="0" w:tplc="CED8DFFC">
      <w:start w:val="1"/>
      <w:numFmt w:val="decimal"/>
      <w:lvlText w:val="%1."/>
      <w:lvlJc w:val="left"/>
      <w:pPr>
        <w:ind w:left="360" w:hanging="360"/>
      </w:pPr>
      <w:rPr>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60543CF6"/>
    <w:multiLevelType w:val="hybridMultilevel"/>
    <w:tmpl w:val="D06E92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1C"/>
    <w:rsid w:val="000A5FA3"/>
    <w:rsid w:val="000B0156"/>
    <w:rsid w:val="00100D4A"/>
    <w:rsid w:val="00135AAC"/>
    <w:rsid w:val="00227193"/>
    <w:rsid w:val="0024510F"/>
    <w:rsid w:val="00245FC6"/>
    <w:rsid w:val="00250C7F"/>
    <w:rsid w:val="00257365"/>
    <w:rsid w:val="002C7D64"/>
    <w:rsid w:val="00304180"/>
    <w:rsid w:val="00357386"/>
    <w:rsid w:val="003A1DCD"/>
    <w:rsid w:val="004719C4"/>
    <w:rsid w:val="00485D58"/>
    <w:rsid w:val="0049763B"/>
    <w:rsid w:val="004D0591"/>
    <w:rsid w:val="005031AC"/>
    <w:rsid w:val="00507420"/>
    <w:rsid w:val="00670C36"/>
    <w:rsid w:val="0074141C"/>
    <w:rsid w:val="007A1320"/>
    <w:rsid w:val="007E1D81"/>
    <w:rsid w:val="007F208A"/>
    <w:rsid w:val="00800357"/>
    <w:rsid w:val="00807D5D"/>
    <w:rsid w:val="008D08AF"/>
    <w:rsid w:val="008E0AF0"/>
    <w:rsid w:val="009868D0"/>
    <w:rsid w:val="009C0552"/>
    <w:rsid w:val="009E7FB9"/>
    <w:rsid w:val="009F5B6B"/>
    <w:rsid w:val="00A072FD"/>
    <w:rsid w:val="00A16486"/>
    <w:rsid w:val="00A21A4F"/>
    <w:rsid w:val="00A935E5"/>
    <w:rsid w:val="00AA3733"/>
    <w:rsid w:val="00BF6DAF"/>
    <w:rsid w:val="00CC5C7F"/>
    <w:rsid w:val="00CC7202"/>
    <w:rsid w:val="00DB3AAD"/>
    <w:rsid w:val="00EB5AF6"/>
    <w:rsid w:val="00EE361E"/>
    <w:rsid w:val="00EF75E4"/>
    <w:rsid w:val="00F223F6"/>
    <w:rsid w:val="00F32702"/>
    <w:rsid w:val="00F32B26"/>
    <w:rsid w:val="00FD2769"/>
    <w:rsid w:val="00FD3AA6"/>
    <w:rsid w:val="00FD5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C592"/>
  <w15:chartTrackingRefBased/>
  <w15:docId w15:val="{1DC2A5E0-DC80-4841-B41E-3863FA10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23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23F6"/>
  </w:style>
  <w:style w:type="paragraph" w:styleId="Sidfot">
    <w:name w:val="footer"/>
    <w:basedOn w:val="Normal"/>
    <w:link w:val="SidfotChar"/>
    <w:uiPriority w:val="99"/>
    <w:unhideWhenUsed/>
    <w:rsid w:val="00F223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23F6"/>
  </w:style>
  <w:style w:type="table" w:styleId="Tabellrutnt">
    <w:name w:val="Table Grid"/>
    <w:basedOn w:val="Normaltabell"/>
    <w:uiPriority w:val="39"/>
    <w:rsid w:val="00F223F6"/>
    <w:pPr>
      <w:spacing w:after="20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unhideWhenUsed/>
    <w:rsid w:val="00F223F6"/>
    <w:pPr>
      <w:numPr>
        <w:numId w:val="1"/>
      </w:numPr>
      <w:contextualSpacing/>
    </w:pPr>
  </w:style>
  <w:style w:type="paragraph" w:styleId="Liststycke">
    <w:name w:val="List Paragraph"/>
    <w:basedOn w:val="Normal"/>
    <w:uiPriority w:val="34"/>
    <w:qFormat/>
    <w:rsid w:val="0025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acc3b55-9850-4711-b5a2-830b36cf0f7a">
      <UserInfo>
        <DisplayName>Tavelin Charlotte RK STAB</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1D6B0EEDF7A5498498786D44EC660A" ma:contentTypeVersion="12" ma:contentTypeDescription="Skapa ett nytt dokument." ma:contentTypeScope="" ma:versionID="99d0e350f58719668e8a0bb7a5b9c9ab">
  <xsd:schema xmlns:xsd="http://www.w3.org/2001/XMLSchema" xmlns:xs="http://www.w3.org/2001/XMLSchema" xmlns:p="http://schemas.microsoft.com/office/2006/metadata/properties" xmlns:ns2="9c8271b3-5128-4fae-9ee7-4c5d23f88fc2" xmlns:ns3="bacc3b55-9850-4711-b5a2-830b36cf0f7a" targetNamespace="http://schemas.microsoft.com/office/2006/metadata/properties" ma:root="true" ma:fieldsID="766ba405421b13231b6b6b02af80f165" ns2:_="" ns3:_="">
    <xsd:import namespace="9c8271b3-5128-4fae-9ee7-4c5d23f88fc2"/>
    <xsd:import namespace="bacc3b55-9850-4711-b5a2-830b36cf0f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71b3-5128-4fae-9ee7-4c5d23f88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3b55-9850-4711-b5a2-830b36cf0f7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FF608-FE05-4426-A2C8-1C643E57EA34}">
  <ds:schemaRefs>
    <ds:schemaRef ds:uri="http://schemas.microsoft.com/sharepoint/v3/contenttype/forms"/>
  </ds:schemaRefs>
</ds:datastoreItem>
</file>

<file path=customXml/itemProps2.xml><?xml version="1.0" encoding="utf-8"?>
<ds:datastoreItem xmlns:ds="http://schemas.openxmlformats.org/officeDocument/2006/customXml" ds:itemID="{5B16D0C7-4DA6-4C13-9257-22A4CD71A5E0}">
  <ds:schemaRefs>
    <ds:schemaRef ds:uri="http://schemas.microsoft.com/office/2006/metadata/properties"/>
    <ds:schemaRef ds:uri="http://schemas.microsoft.com/office/infopath/2007/PartnerControls"/>
    <ds:schemaRef ds:uri="bacc3b55-9850-4711-b5a2-830b36cf0f7a"/>
  </ds:schemaRefs>
</ds:datastoreItem>
</file>

<file path=customXml/itemProps3.xml><?xml version="1.0" encoding="utf-8"?>
<ds:datastoreItem xmlns:ds="http://schemas.openxmlformats.org/officeDocument/2006/customXml" ds:itemID="{5D88A13F-7492-4AB5-9AA5-2418D27A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71b3-5128-4fae-9ee7-4c5d23f88fc2"/>
    <ds:schemaRef ds:uri="bacc3b55-9850-4711-b5a2-830b36cf0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1187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Skoglund Annelie RGS VS IT VÅRD</dc:creator>
  <cp:keywords/>
  <dc:description/>
  <cp:lastModifiedBy>Nordlöf Linda RGS VS IT VÅRD</cp:lastModifiedBy>
  <cp:revision>3</cp:revision>
  <cp:lastPrinted>2021-02-05T14:11:00Z</cp:lastPrinted>
  <dcterms:created xsi:type="dcterms:W3CDTF">2021-06-04T10:08:00Z</dcterms:created>
  <dcterms:modified xsi:type="dcterms:W3CDTF">2021-06-04T10:13:00Z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0x010100801D6B0EEDF7A5498498786D44EC660A</vt:lpwstr>
  </property>
</Properties>
</file>