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3C4D" w14:textId="3DAE04B7" w:rsidR="007A556C" w:rsidRPr="00327687" w:rsidRDefault="00BD23A3" w:rsidP="007A556C">
      <w:pPr>
        <w:ind w:firstLine="360"/>
        <w:rPr>
          <w:sz w:val="22"/>
          <w:szCs w:val="22"/>
        </w:rPr>
      </w:pPr>
      <w:r>
        <w:rPr>
          <w:b/>
          <w:bCs/>
          <w:sz w:val="22"/>
          <w:szCs w:val="22"/>
        </w:rPr>
        <w:t xml:space="preserve">                                                                                                                                                </w:t>
      </w:r>
      <w:r w:rsidR="007A556C" w:rsidRPr="00327687">
        <w:rPr>
          <w:b/>
          <w:bCs/>
          <w:sz w:val="22"/>
          <w:szCs w:val="22"/>
        </w:rPr>
        <w:t>Bilaga 1</w:t>
      </w:r>
    </w:p>
    <w:p w14:paraId="180845EB" w14:textId="77777777" w:rsidR="007A556C" w:rsidRPr="00327687" w:rsidRDefault="007A556C" w:rsidP="007A556C">
      <w:pPr>
        <w:ind w:firstLine="360"/>
        <w:rPr>
          <w:bCs/>
        </w:rPr>
      </w:pPr>
      <w:r w:rsidRPr="00327687">
        <w:rPr>
          <w:b/>
          <w:bCs/>
          <w:sz w:val="28"/>
          <w:szCs w:val="28"/>
        </w:rPr>
        <w:t xml:space="preserve"> </w:t>
      </w:r>
    </w:p>
    <w:p w14:paraId="106F0A16" w14:textId="1F224249" w:rsidR="007A556C" w:rsidRPr="00F505B3" w:rsidRDefault="007A556C" w:rsidP="007A556C">
      <w:pPr>
        <w:ind w:firstLine="360"/>
        <w:rPr>
          <w:bCs/>
        </w:rPr>
      </w:pPr>
      <w:r w:rsidRPr="00F505B3">
        <w:rPr>
          <w:b/>
        </w:rPr>
        <w:t>Akut</w:t>
      </w:r>
      <w:r w:rsidR="005105DA">
        <w:rPr>
          <w:b/>
        </w:rPr>
        <w:t xml:space="preserve"> </w:t>
      </w:r>
      <w:r w:rsidRPr="00F505B3">
        <w:rPr>
          <w:b/>
        </w:rPr>
        <w:t>tandvård – Vård som inte kan anstå</w:t>
      </w:r>
    </w:p>
    <w:p w14:paraId="0EE2ACEF" w14:textId="77777777" w:rsidR="007A556C" w:rsidRPr="00327687" w:rsidRDefault="007A556C" w:rsidP="007A556C">
      <w:pPr>
        <w:ind w:left="360"/>
        <w:rPr>
          <w:sz w:val="22"/>
          <w:szCs w:val="22"/>
        </w:rPr>
      </w:pPr>
    </w:p>
    <w:p w14:paraId="2911167B" w14:textId="77777777" w:rsidR="007A556C" w:rsidRPr="006757CF" w:rsidRDefault="007A556C" w:rsidP="007A556C">
      <w:pPr>
        <w:ind w:left="360"/>
        <w:rPr>
          <w:sz w:val="20"/>
          <w:szCs w:val="20"/>
        </w:rPr>
      </w:pPr>
      <w:r w:rsidRPr="006757CF">
        <w:rPr>
          <w:sz w:val="20"/>
          <w:szCs w:val="20"/>
        </w:rPr>
        <w:t xml:space="preserve">En vägledning till vad som ryms inom ramen för akuta omhändertaganden. </w:t>
      </w:r>
    </w:p>
    <w:p w14:paraId="17722120" w14:textId="77777777" w:rsidR="007A556C" w:rsidRPr="006757CF" w:rsidRDefault="007A556C" w:rsidP="007A556C">
      <w:pPr>
        <w:ind w:left="360"/>
        <w:rPr>
          <w:sz w:val="20"/>
          <w:szCs w:val="20"/>
        </w:rPr>
      </w:pPr>
    </w:p>
    <w:p w14:paraId="106D8DC9" w14:textId="77777777" w:rsidR="007A556C" w:rsidRPr="006757CF" w:rsidRDefault="007A556C" w:rsidP="007A556C">
      <w:pPr>
        <w:ind w:firstLine="360"/>
        <w:rPr>
          <w:sz w:val="20"/>
          <w:szCs w:val="20"/>
        </w:rPr>
      </w:pPr>
      <w:r w:rsidRPr="006757CF">
        <w:rPr>
          <w:b/>
          <w:sz w:val="20"/>
          <w:szCs w:val="20"/>
        </w:rPr>
        <w:t>Omedelbar akut åtgärd.</w:t>
      </w:r>
      <w:r w:rsidRPr="006757CF">
        <w:rPr>
          <w:sz w:val="20"/>
          <w:szCs w:val="20"/>
        </w:rPr>
        <w:t xml:space="preserve"> Gäller rent allmänt skador i ansiktsregionen innefattande </w:t>
      </w:r>
    </w:p>
    <w:p w14:paraId="55E52498" w14:textId="77777777" w:rsidR="007A556C" w:rsidRPr="006757CF" w:rsidRDefault="007A556C" w:rsidP="007A556C">
      <w:pPr>
        <w:ind w:left="360"/>
        <w:rPr>
          <w:sz w:val="20"/>
          <w:szCs w:val="20"/>
        </w:rPr>
      </w:pPr>
      <w:r w:rsidRPr="006757CF">
        <w:rPr>
          <w:sz w:val="20"/>
          <w:szCs w:val="20"/>
        </w:rPr>
        <w:t xml:space="preserve">skelett och större vävnadsskador med smärta, blödningar och funktionspåverkan. </w:t>
      </w:r>
    </w:p>
    <w:p w14:paraId="52B9CD7C" w14:textId="77777777" w:rsidR="007A556C" w:rsidRPr="006757CF" w:rsidRDefault="007A556C" w:rsidP="007A556C">
      <w:pPr>
        <w:ind w:left="360"/>
        <w:rPr>
          <w:b/>
          <w:sz w:val="20"/>
          <w:szCs w:val="20"/>
        </w:rPr>
      </w:pPr>
      <w:r w:rsidRPr="006757CF">
        <w:rPr>
          <w:sz w:val="20"/>
          <w:szCs w:val="20"/>
        </w:rPr>
        <w:t xml:space="preserve">Åtgärd innebär då ofta behov av en insats av </w:t>
      </w:r>
      <w:r w:rsidRPr="006757CF">
        <w:rPr>
          <w:b/>
          <w:sz w:val="20"/>
          <w:szCs w:val="20"/>
        </w:rPr>
        <w:t>specialisttandvården i samverkan med sjukvården.</w:t>
      </w:r>
    </w:p>
    <w:p w14:paraId="3D0CE7F6" w14:textId="77777777" w:rsidR="007A556C" w:rsidRPr="006757CF" w:rsidRDefault="007A556C" w:rsidP="007A556C">
      <w:pPr>
        <w:ind w:left="360"/>
        <w:rPr>
          <w:sz w:val="20"/>
          <w:szCs w:val="20"/>
        </w:rPr>
      </w:pPr>
    </w:p>
    <w:p w14:paraId="332BA102" w14:textId="77777777" w:rsidR="007A556C" w:rsidRPr="006757CF" w:rsidRDefault="007A556C" w:rsidP="007A556C">
      <w:pPr>
        <w:ind w:left="360"/>
        <w:rPr>
          <w:sz w:val="20"/>
          <w:szCs w:val="20"/>
        </w:rPr>
      </w:pPr>
      <w:r w:rsidRPr="006757CF">
        <w:rPr>
          <w:b/>
          <w:sz w:val="20"/>
          <w:szCs w:val="20"/>
        </w:rPr>
        <w:t>Akut åtgärd</w:t>
      </w:r>
      <w:r w:rsidRPr="006757CF">
        <w:rPr>
          <w:sz w:val="20"/>
          <w:szCs w:val="20"/>
        </w:rPr>
        <w:t xml:space="preserve"> görs i första hand för att avhjälpa ett </w:t>
      </w:r>
      <w:r w:rsidRPr="006757CF">
        <w:rPr>
          <w:b/>
          <w:sz w:val="20"/>
          <w:szCs w:val="20"/>
        </w:rPr>
        <w:t>symptomatiskt akut tillstånd.</w:t>
      </w:r>
      <w:r w:rsidRPr="006757CF">
        <w:rPr>
          <w:sz w:val="20"/>
          <w:szCs w:val="20"/>
        </w:rPr>
        <w:t xml:space="preserve">   </w:t>
      </w:r>
    </w:p>
    <w:p w14:paraId="2BCC9EFF" w14:textId="77777777" w:rsidR="007A556C" w:rsidRPr="006757CF" w:rsidRDefault="007A556C" w:rsidP="007A556C">
      <w:pPr>
        <w:ind w:left="360"/>
        <w:rPr>
          <w:sz w:val="20"/>
          <w:szCs w:val="20"/>
        </w:rPr>
      </w:pPr>
      <w:r w:rsidRPr="006757CF">
        <w:rPr>
          <w:sz w:val="20"/>
          <w:szCs w:val="20"/>
        </w:rPr>
        <w:t>Grad av allmänpåverkan har betydelse.</w:t>
      </w:r>
    </w:p>
    <w:p w14:paraId="63FC6B3C" w14:textId="77777777" w:rsidR="007A556C" w:rsidRPr="006757CF" w:rsidRDefault="007A556C" w:rsidP="007A556C">
      <w:pPr>
        <w:ind w:left="360"/>
        <w:rPr>
          <w:sz w:val="20"/>
          <w:szCs w:val="20"/>
        </w:rPr>
      </w:pPr>
      <w:r w:rsidRPr="006757CF">
        <w:rPr>
          <w:sz w:val="20"/>
          <w:szCs w:val="20"/>
        </w:rPr>
        <w:t>Målsättningen med en akut åtgärd bör vara att ett nytt akut besök inte är nödvändigt inom åtminstone ett par tre månader.</w:t>
      </w:r>
    </w:p>
    <w:p w14:paraId="65AACB64" w14:textId="77777777" w:rsidR="007A556C" w:rsidRPr="006757CF" w:rsidRDefault="007A556C" w:rsidP="007A556C">
      <w:pPr>
        <w:ind w:left="360"/>
        <w:rPr>
          <w:sz w:val="20"/>
          <w:szCs w:val="20"/>
        </w:rPr>
      </w:pPr>
    </w:p>
    <w:p w14:paraId="64499910" w14:textId="4F464CCF" w:rsidR="007A556C" w:rsidRPr="006757CF" w:rsidRDefault="007A556C" w:rsidP="007A556C">
      <w:pPr>
        <w:ind w:left="360"/>
        <w:rPr>
          <w:sz w:val="20"/>
          <w:szCs w:val="20"/>
        </w:rPr>
      </w:pPr>
      <w:r w:rsidRPr="006757CF">
        <w:rPr>
          <w:sz w:val="20"/>
          <w:szCs w:val="20"/>
        </w:rPr>
        <w:t xml:space="preserve">Tillstånd som </w:t>
      </w:r>
      <w:r w:rsidRPr="006757CF">
        <w:rPr>
          <w:b/>
          <w:sz w:val="20"/>
          <w:szCs w:val="20"/>
        </w:rPr>
        <w:t>inte är av omedelbart akut</w:t>
      </w:r>
      <w:r w:rsidRPr="006757CF">
        <w:rPr>
          <w:sz w:val="20"/>
          <w:szCs w:val="20"/>
        </w:rPr>
        <w:t xml:space="preserve"> karaktär men där det finns en uppenbar risk för ett sämre och akut tillstånd måste inte behandlas genast. Det bör dock inte föregås av en längre väntetid. Resurstillgången avgör trots att dessa behandlingar är prioriterade till viss del när insats kan ske.</w:t>
      </w:r>
    </w:p>
    <w:p w14:paraId="7681DD91" w14:textId="77777777" w:rsidR="007A556C" w:rsidRPr="006757CF" w:rsidRDefault="007A556C" w:rsidP="007A556C">
      <w:pPr>
        <w:ind w:left="360"/>
        <w:rPr>
          <w:b/>
          <w:sz w:val="20"/>
          <w:szCs w:val="20"/>
        </w:rPr>
      </w:pPr>
    </w:p>
    <w:p w14:paraId="6F1DECF3" w14:textId="77777777" w:rsidR="007A556C" w:rsidRPr="006757CF" w:rsidRDefault="007A556C" w:rsidP="007A556C">
      <w:pPr>
        <w:ind w:left="360"/>
        <w:rPr>
          <w:b/>
          <w:sz w:val="20"/>
          <w:szCs w:val="20"/>
        </w:rPr>
      </w:pPr>
    </w:p>
    <w:p w14:paraId="6A18080E" w14:textId="77777777" w:rsidR="007A556C" w:rsidRPr="006757CF" w:rsidRDefault="007A556C" w:rsidP="007A556C">
      <w:pPr>
        <w:numPr>
          <w:ilvl w:val="0"/>
          <w:numId w:val="1"/>
        </w:numPr>
        <w:rPr>
          <w:sz w:val="20"/>
          <w:szCs w:val="20"/>
        </w:rPr>
      </w:pPr>
      <w:r w:rsidRPr="006757CF">
        <w:rPr>
          <w:b/>
          <w:sz w:val="20"/>
          <w:szCs w:val="20"/>
        </w:rPr>
        <w:t>Smärttillstånd</w:t>
      </w:r>
      <w:r w:rsidRPr="006757CF">
        <w:rPr>
          <w:sz w:val="20"/>
          <w:szCs w:val="20"/>
        </w:rPr>
        <w:t xml:space="preserve"> i tänder, käkar och tuggmuskler i varierande grad och av varierande orsak samt traumatiska tandskador med pulpainvolvering eller lägesförskjutning. Här kan det vara särskilt viktigt med en så snabb insats som möjligt.</w:t>
      </w:r>
    </w:p>
    <w:p w14:paraId="36FA02F0" w14:textId="77777777" w:rsidR="007A556C" w:rsidRPr="006757CF" w:rsidRDefault="007A556C" w:rsidP="007A556C">
      <w:pPr>
        <w:rPr>
          <w:b/>
          <w:sz w:val="20"/>
          <w:szCs w:val="20"/>
        </w:rPr>
      </w:pPr>
    </w:p>
    <w:p w14:paraId="75564B91" w14:textId="56CDC3CB" w:rsidR="007A556C" w:rsidRPr="000A1F3E" w:rsidRDefault="007A556C" w:rsidP="000A1F3E">
      <w:pPr>
        <w:numPr>
          <w:ilvl w:val="0"/>
          <w:numId w:val="1"/>
        </w:numPr>
        <w:rPr>
          <w:sz w:val="20"/>
          <w:szCs w:val="20"/>
        </w:rPr>
      </w:pPr>
      <w:r w:rsidRPr="006757CF">
        <w:rPr>
          <w:b/>
          <w:sz w:val="20"/>
          <w:szCs w:val="20"/>
        </w:rPr>
        <w:t>Akuta, infektiösa tillstånd</w:t>
      </w:r>
      <w:r w:rsidRPr="006757CF">
        <w:rPr>
          <w:sz w:val="20"/>
          <w:szCs w:val="20"/>
        </w:rPr>
        <w:t xml:space="preserve"> i tänderna och deras omgivning ska åtgärdas. Hit hör exempelvis sanering av infektionsfoci, extraktion och akut rotbehandling.</w:t>
      </w:r>
      <w:r w:rsidR="000A1F3E">
        <w:rPr>
          <w:sz w:val="20"/>
          <w:szCs w:val="20"/>
        </w:rPr>
        <w:t xml:space="preserve"> </w:t>
      </w:r>
      <w:r w:rsidRPr="000A1F3E">
        <w:rPr>
          <w:sz w:val="20"/>
          <w:szCs w:val="20"/>
        </w:rPr>
        <w:t>Snabb insats av vikt, särskilt om allmänpåverkan finns.</w:t>
      </w:r>
    </w:p>
    <w:p w14:paraId="1CE57891" w14:textId="77777777" w:rsidR="00D60B32" w:rsidRDefault="00A63F10" w:rsidP="00EC37FC">
      <w:pPr>
        <w:rPr>
          <w:b/>
          <w:bCs/>
          <w:color w:val="000000"/>
          <w:sz w:val="20"/>
          <w:szCs w:val="20"/>
        </w:rPr>
      </w:pPr>
      <w:r w:rsidRPr="006757CF">
        <w:rPr>
          <w:b/>
          <w:bCs/>
          <w:color w:val="000000"/>
          <w:sz w:val="20"/>
          <w:szCs w:val="20"/>
        </w:rPr>
        <w:t xml:space="preserve">      </w:t>
      </w:r>
    </w:p>
    <w:p w14:paraId="0F893712" w14:textId="399B7BB4" w:rsidR="00EC37FC" w:rsidRPr="006757CF" w:rsidRDefault="00EC37FC" w:rsidP="00D60B32">
      <w:pPr>
        <w:ind w:firstLine="360"/>
        <w:rPr>
          <w:color w:val="000000"/>
          <w:sz w:val="20"/>
          <w:szCs w:val="20"/>
        </w:rPr>
      </w:pPr>
      <w:r w:rsidRPr="006757CF">
        <w:rPr>
          <w:b/>
          <w:bCs/>
          <w:color w:val="000000"/>
          <w:sz w:val="20"/>
          <w:szCs w:val="20"/>
        </w:rPr>
        <w:t xml:space="preserve">Smärta och infektion i tandpulpan och tandroten. </w:t>
      </w:r>
      <w:r w:rsidRPr="006757CF">
        <w:rPr>
          <w:color w:val="000000"/>
          <w:sz w:val="20"/>
          <w:szCs w:val="20"/>
        </w:rPr>
        <w:t> </w:t>
      </w:r>
    </w:p>
    <w:p w14:paraId="0A9DF683" w14:textId="7725476B" w:rsidR="007A556C" w:rsidRPr="006757CF" w:rsidRDefault="00A63F10" w:rsidP="004C32E1">
      <w:pPr>
        <w:rPr>
          <w:sz w:val="20"/>
          <w:szCs w:val="20"/>
        </w:rPr>
      </w:pPr>
      <w:r w:rsidRPr="006757CF">
        <w:rPr>
          <w:bCs/>
          <w:color w:val="000000"/>
          <w:sz w:val="20"/>
          <w:szCs w:val="20"/>
        </w:rPr>
        <w:t xml:space="preserve">     </w:t>
      </w:r>
      <w:r w:rsidR="004C32E1" w:rsidRPr="006757CF">
        <w:rPr>
          <w:bCs/>
          <w:color w:val="000000"/>
          <w:sz w:val="20"/>
          <w:szCs w:val="20"/>
        </w:rPr>
        <w:t xml:space="preserve"> </w:t>
      </w:r>
      <w:r w:rsidRPr="006757CF">
        <w:rPr>
          <w:bCs/>
          <w:color w:val="000000"/>
          <w:sz w:val="20"/>
          <w:szCs w:val="20"/>
        </w:rPr>
        <w:t xml:space="preserve"> </w:t>
      </w:r>
      <w:r w:rsidR="00EC37FC" w:rsidRPr="006757CF">
        <w:rPr>
          <w:bCs/>
          <w:color w:val="000000"/>
          <w:sz w:val="20"/>
          <w:szCs w:val="20"/>
        </w:rPr>
        <w:t>Vid irreversibel pulpit</w:t>
      </w:r>
      <w:r w:rsidR="00EC37FC" w:rsidRPr="006757CF">
        <w:rPr>
          <w:color w:val="000000"/>
          <w:sz w:val="20"/>
          <w:szCs w:val="20"/>
        </w:rPr>
        <w:t xml:space="preserve"> avlägsna kronpulpan och försegla tanden med temporär fyllning. Om tid finns </w:t>
      </w:r>
    </w:p>
    <w:p w14:paraId="391C037F" w14:textId="70A3A00F" w:rsidR="00A63F10" w:rsidRPr="006757CF" w:rsidRDefault="00A63F10" w:rsidP="00A63F10">
      <w:pPr>
        <w:rPr>
          <w:color w:val="000000"/>
          <w:sz w:val="20"/>
          <w:szCs w:val="20"/>
        </w:rPr>
      </w:pPr>
      <w:r w:rsidRPr="006757CF">
        <w:rPr>
          <w:color w:val="000000"/>
          <w:sz w:val="20"/>
          <w:szCs w:val="20"/>
        </w:rPr>
        <w:t xml:space="preserve">       kan pulpektomi utföras och temporärt kalicumhydroxidinlägg eller permanent rotfyllning.  </w:t>
      </w:r>
    </w:p>
    <w:p w14:paraId="2A59BE21" w14:textId="12A3B4FA" w:rsidR="00A63F10" w:rsidRPr="006757CF" w:rsidRDefault="00A63F10" w:rsidP="00E175CF">
      <w:pPr>
        <w:rPr>
          <w:color w:val="000000"/>
          <w:sz w:val="20"/>
          <w:szCs w:val="20"/>
        </w:rPr>
      </w:pPr>
      <w:r w:rsidRPr="006757CF">
        <w:rPr>
          <w:color w:val="000000"/>
          <w:sz w:val="20"/>
          <w:szCs w:val="20"/>
        </w:rPr>
        <w:t xml:space="preserve">       Vid apikal parodontit med symtom utan påverkat allmäntillstånd avlägsna den döda kronpulpan  </w:t>
      </w:r>
      <w:r w:rsidR="00E175CF" w:rsidRPr="006757CF">
        <w:rPr>
          <w:color w:val="000000"/>
          <w:sz w:val="20"/>
          <w:szCs w:val="20"/>
        </w:rPr>
        <w:t xml:space="preserve">     </w:t>
      </w:r>
    </w:p>
    <w:p w14:paraId="00A03260" w14:textId="5BD781AC" w:rsidR="00E175CF" w:rsidRPr="006757CF" w:rsidRDefault="00E175CF" w:rsidP="00E175CF">
      <w:pPr>
        <w:rPr>
          <w:color w:val="000000"/>
          <w:sz w:val="20"/>
          <w:szCs w:val="20"/>
        </w:rPr>
      </w:pPr>
      <w:r w:rsidRPr="006757CF">
        <w:rPr>
          <w:color w:val="000000"/>
          <w:sz w:val="20"/>
          <w:szCs w:val="20"/>
        </w:rPr>
        <w:t xml:space="preserve">       och tanden förseglas med temporär fyllning, finns tid rensa rotkanalssystemet fullständigt.                                                                        </w:t>
      </w:r>
    </w:p>
    <w:p w14:paraId="759680EB" w14:textId="63EFD2EA" w:rsidR="00E175CF" w:rsidRPr="006757CF" w:rsidRDefault="00E175CF" w:rsidP="00E175CF">
      <w:pPr>
        <w:rPr>
          <w:color w:val="000000"/>
          <w:sz w:val="20"/>
          <w:szCs w:val="20"/>
        </w:rPr>
      </w:pPr>
      <w:r w:rsidRPr="006757CF">
        <w:rPr>
          <w:color w:val="000000"/>
          <w:sz w:val="20"/>
          <w:szCs w:val="20"/>
        </w:rPr>
        <w:t xml:space="preserve">       Vid påverkat allmäntillstånd och spridning komplettera behandlingen med antibiotika och om     </w:t>
      </w:r>
    </w:p>
    <w:p w14:paraId="027B4C61" w14:textId="54F0DE80" w:rsidR="00B92BAE" w:rsidRPr="006757CF" w:rsidRDefault="00B92BAE" w:rsidP="00E175CF">
      <w:pPr>
        <w:rPr>
          <w:color w:val="000000"/>
          <w:sz w:val="20"/>
          <w:szCs w:val="20"/>
        </w:rPr>
      </w:pPr>
      <w:r w:rsidRPr="006757CF">
        <w:rPr>
          <w:color w:val="000000"/>
          <w:sz w:val="20"/>
          <w:szCs w:val="20"/>
        </w:rPr>
        <w:t xml:space="preserve">       möjligt dränage.</w:t>
      </w:r>
    </w:p>
    <w:p w14:paraId="2D629DCF" w14:textId="716BF05C" w:rsidR="00E175CF" w:rsidRPr="006757CF" w:rsidRDefault="00E175CF" w:rsidP="00E175CF">
      <w:pPr>
        <w:rPr>
          <w:sz w:val="20"/>
          <w:szCs w:val="20"/>
        </w:rPr>
      </w:pPr>
      <w:r w:rsidRPr="006757CF">
        <w:rPr>
          <w:color w:val="000000"/>
          <w:sz w:val="20"/>
          <w:szCs w:val="20"/>
        </w:rPr>
        <w:t xml:space="preserve">    </w:t>
      </w:r>
      <w:r w:rsidR="00B92BAE" w:rsidRPr="006757CF">
        <w:rPr>
          <w:color w:val="000000"/>
          <w:sz w:val="20"/>
          <w:szCs w:val="20"/>
        </w:rPr>
        <w:t xml:space="preserve">   </w:t>
      </w:r>
      <w:r w:rsidRPr="006757CF">
        <w:rPr>
          <w:color w:val="000000"/>
          <w:sz w:val="20"/>
          <w:szCs w:val="20"/>
        </w:rPr>
        <w:t xml:space="preserve">Vid rotfylld tand med apikal parodontit med symtom ges adekvat smärtstillande vid påverkat                                        </w:t>
      </w:r>
    </w:p>
    <w:p w14:paraId="6D6AE690" w14:textId="043A8987" w:rsidR="00A63F10" w:rsidRPr="006757CF" w:rsidRDefault="00B92BAE" w:rsidP="007A556C">
      <w:pPr>
        <w:ind w:left="360"/>
        <w:rPr>
          <w:color w:val="000000"/>
          <w:sz w:val="20"/>
          <w:szCs w:val="20"/>
        </w:rPr>
      </w:pPr>
      <w:r w:rsidRPr="006757CF">
        <w:rPr>
          <w:color w:val="000000"/>
          <w:sz w:val="20"/>
          <w:szCs w:val="20"/>
        </w:rPr>
        <w:t>allmäntillstånd och spridning tillägg med antibiotika</w:t>
      </w:r>
      <w:r w:rsidR="001379F9" w:rsidRPr="006757CF">
        <w:rPr>
          <w:color w:val="000000"/>
          <w:sz w:val="20"/>
          <w:szCs w:val="20"/>
        </w:rPr>
        <w:t>.</w:t>
      </w:r>
    </w:p>
    <w:p w14:paraId="54BAA13C" w14:textId="16C8668C" w:rsidR="001379F9" w:rsidRPr="006757CF" w:rsidRDefault="001379F9" w:rsidP="007A556C">
      <w:pPr>
        <w:ind w:left="360"/>
        <w:rPr>
          <w:sz w:val="20"/>
          <w:szCs w:val="20"/>
        </w:rPr>
      </w:pPr>
      <w:r w:rsidRPr="006757CF">
        <w:rPr>
          <w:sz w:val="20"/>
          <w:szCs w:val="20"/>
        </w:rPr>
        <w:t>Värdet av att rotbehandla och behålla tanden ska övervägas ur funktionell och estetisk synpunkt</w:t>
      </w:r>
    </w:p>
    <w:p w14:paraId="6906A461" w14:textId="77777777" w:rsidR="007A556C" w:rsidRPr="006757CF" w:rsidRDefault="007A556C" w:rsidP="007A556C">
      <w:pPr>
        <w:rPr>
          <w:sz w:val="20"/>
          <w:szCs w:val="20"/>
        </w:rPr>
      </w:pPr>
    </w:p>
    <w:p w14:paraId="3EDCFE32" w14:textId="77777777" w:rsidR="007A556C" w:rsidRPr="006757CF" w:rsidRDefault="007A556C" w:rsidP="007A556C">
      <w:pPr>
        <w:numPr>
          <w:ilvl w:val="0"/>
          <w:numId w:val="1"/>
        </w:numPr>
        <w:rPr>
          <w:sz w:val="20"/>
          <w:szCs w:val="20"/>
        </w:rPr>
      </w:pPr>
      <w:r w:rsidRPr="006757CF">
        <w:rPr>
          <w:sz w:val="20"/>
          <w:szCs w:val="20"/>
        </w:rPr>
        <w:t xml:space="preserve">Större traumatiska skador utan pulpainvolvering. Vid omfattande </w:t>
      </w:r>
      <w:r w:rsidRPr="006757CF">
        <w:rPr>
          <w:b/>
          <w:sz w:val="20"/>
          <w:szCs w:val="20"/>
        </w:rPr>
        <w:t xml:space="preserve">fraktur av tandkrona utan involverande av vital pulpavävnad </w:t>
      </w:r>
      <w:r w:rsidRPr="006757CF">
        <w:rPr>
          <w:sz w:val="20"/>
          <w:szCs w:val="20"/>
        </w:rPr>
        <w:t>kan roten skyddas provisoriskt.</w:t>
      </w:r>
    </w:p>
    <w:p w14:paraId="3F109FA7" w14:textId="77777777" w:rsidR="007A556C" w:rsidRPr="006757CF" w:rsidRDefault="007A556C" w:rsidP="007A556C">
      <w:pPr>
        <w:rPr>
          <w:sz w:val="20"/>
          <w:szCs w:val="20"/>
        </w:rPr>
      </w:pPr>
    </w:p>
    <w:p w14:paraId="7BC99B30" w14:textId="77777777" w:rsidR="007A556C" w:rsidRPr="006757CF" w:rsidRDefault="007A556C" w:rsidP="007A556C">
      <w:pPr>
        <w:numPr>
          <w:ilvl w:val="0"/>
          <w:numId w:val="1"/>
        </w:numPr>
        <w:rPr>
          <w:sz w:val="20"/>
          <w:szCs w:val="20"/>
        </w:rPr>
      </w:pPr>
      <w:r w:rsidRPr="006757CF">
        <w:rPr>
          <w:b/>
          <w:sz w:val="20"/>
          <w:szCs w:val="20"/>
        </w:rPr>
        <w:t xml:space="preserve">Sekundärkariesangrepp i anslutning till kron- eller brokonstruktioner </w:t>
      </w:r>
      <w:r w:rsidRPr="006757CF">
        <w:rPr>
          <w:sz w:val="20"/>
          <w:szCs w:val="20"/>
        </w:rPr>
        <w:t>bör åtgärdas om de äventyrar bibehållandet av konstruktionen.</w:t>
      </w:r>
    </w:p>
    <w:p w14:paraId="00537242" w14:textId="77777777" w:rsidR="007A556C" w:rsidRPr="006757CF" w:rsidRDefault="007A556C" w:rsidP="007A556C">
      <w:pPr>
        <w:rPr>
          <w:sz w:val="20"/>
          <w:szCs w:val="20"/>
        </w:rPr>
      </w:pPr>
    </w:p>
    <w:p w14:paraId="1C52FE28" w14:textId="77777777" w:rsidR="007A556C" w:rsidRPr="006757CF" w:rsidRDefault="007A556C" w:rsidP="007A556C">
      <w:pPr>
        <w:numPr>
          <w:ilvl w:val="0"/>
          <w:numId w:val="1"/>
        </w:numPr>
        <w:rPr>
          <w:sz w:val="20"/>
          <w:szCs w:val="20"/>
        </w:rPr>
      </w:pPr>
      <w:r w:rsidRPr="006757CF">
        <w:rPr>
          <w:b/>
          <w:sz w:val="20"/>
          <w:szCs w:val="20"/>
        </w:rPr>
        <w:t xml:space="preserve">Lossnad krona och lossnad implantatkonstruktion </w:t>
      </w:r>
      <w:r w:rsidRPr="006757CF">
        <w:rPr>
          <w:sz w:val="20"/>
          <w:szCs w:val="20"/>
        </w:rPr>
        <w:t>bör sättas fast.</w:t>
      </w:r>
    </w:p>
    <w:p w14:paraId="36ED1681" w14:textId="77777777" w:rsidR="007A556C" w:rsidRPr="006757CF" w:rsidRDefault="007A556C" w:rsidP="007A556C">
      <w:pPr>
        <w:rPr>
          <w:sz w:val="20"/>
          <w:szCs w:val="20"/>
        </w:rPr>
      </w:pPr>
    </w:p>
    <w:p w14:paraId="40853026" w14:textId="77777777" w:rsidR="007A556C" w:rsidRPr="006757CF" w:rsidRDefault="007A556C" w:rsidP="007A556C">
      <w:pPr>
        <w:numPr>
          <w:ilvl w:val="0"/>
          <w:numId w:val="1"/>
        </w:numPr>
        <w:rPr>
          <w:sz w:val="20"/>
          <w:szCs w:val="20"/>
        </w:rPr>
      </w:pPr>
      <w:r w:rsidRPr="006757CF">
        <w:rPr>
          <w:b/>
          <w:sz w:val="20"/>
          <w:szCs w:val="20"/>
        </w:rPr>
        <w:t>Tandluckor i framtandsområdet</w:t>
      </w:r>
      <w:r w:rsidRPr="006757CF">
        <w:rPr>
          <w:sz w:val="20"/>
          <w:szCs w:val="20"/>
        </w:rPr>
        <w:t xml:space="preserve"> kan ersättas med temporär protetisk ersättning om akutbehandling eller trauma har medfört en ny tandlucka.</w:t>
      </w:r>
    </w:p>
    <w:p w14:paraId="5095011D" w14:textId="77777777" w:rsidR="007A556C" w:rsidRPr="006757CF" w:rsidRDefault="007A556C" w:rsidP="007A556C">
      <w:pPr>
        <w:rPr>
          <w:sz w:val="20"/>
          <w:szCs w:val="20"/>
        </w:rPr>
      </w:pPr>
    </w:p>
    <w:p w14:paraId="7F58912B" w14:textId="77777777" w:rsidR="007A556C" w:rsidRPr="006757CF" w:rsidRDefault="007A556C" w:rsidP="007A556C">
      <w:pPr>
        <w:numPr>
          <w:ilvl w:val="0"/>
          <w:numId w:val="1"/>
        </w:numPr>
        <w:rPr>
          <w:sz w:val="20"/>
          <w:szCs w:val="20"/>
        </w:rPr>
      </w:pPr>
      <w:r w:rsidRPr="006757CF">
        <w:rPr>
          <w:b/>
          <w:sz w:val="20"/>
          <w:szCs w:val="20"/>
        </w:rPr>
        <w:t>Partiell protes</w:t>
      </w:r>
      <w:r w:rsidRPr="006757CF">
        <w:rPr>
          <w:sz w:val="20"/>
          <w:szCs w:val="20"/>
        </w:rPr>
        <w:t xml:space="preserve"> bör lagas om reparationen är nödvändig för protesens funktion.</w:t>
      </w:r>
    </w:p>
    <w:p w14:paraId="03C62472" w14:textId="77777777" w:rsidR="007A556C" w:rsidRPr="006757CF" w:rsidRDefault="007A556C" w:rsidP="007A556C">
      <w:pPr>
        <w:rPr>
          <w:sz w:val="20"/>
          <w:szCs w:val="20"/>
        </w:rPr>
      </w:pPr>
    </w:p>
    <w:p w14:paraId="6370ECC6" w14:textId="77777777" w:rsidR="007A556C" w:rsidRPr="006757CF" w:rsidRDefault="007A556C" w:rsidP="007A556C">
      <w:pPr>
        <w:numPr>
          <w:ilvl w:val="0"/>
          <w:numId w:val="1"/>
        </w:numPr>
        <w:rPr>
          <w:sz w:val="20"/>
          <w:szCs w:val="20"/>
        </w:rPr>
      </w:pPr>
      <w:r w:rsidRPr="006757CF">
        <w:rPr>
          <w:b/>
          <w:sz w:val="20"/>
          <w:szCs w:val="20"/>
        </w:rPr>
        <w:t>Protes</w:t>
      </w:r>
      <w:r w:rsidRPr="006757CF">
        <w:rPr>
          <w:sz w:val="20"/>
          <w:szCs w:val="20"/>
        </w:rPr>
        <w:t xml:space="preserve"> som gått förlorad eller skadats så att den inte går att laga, kan ersättas om protesen anses vara absolut nödvändig från funktionell synpunkt för den vårdsökande.</w:t>
      </w:r>
    </w:p>
    <w:p w14:paraId="7E384D14" w14:textId="77777777" w:rsidR="007A556C" w:rsidRPr="006757CF" w:rsidRDefault="007A556C" w:rsidP="007A556C">
      <w:pPr>
        <w:pStyle w:val="Liststycke"/>
        <w:rPr>
          <w:sz w:val="20"/>
          <w:szCs w:val="20"/>
        </w:rPr>
      </w:pPr>
    </w:p>
    <w:p w14:paraId="17D91296" w14:textId="77777777" w:rsidR="00E30550" w:rsidRPr="006757CF" w:rsidRDefault="00E30550">
      <w:pPr>
        <w:rPr>
          <w:sz w:val="20"/>
          <w:szCs w:val="20"/>
        </w:rPr>
      </w:pPr>
    </w:p>
    <w:sectPr w:rsidR="00E30550" w:rsidRPr="00675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1656A"/>
    <w:multiLevelType w:val="hybridMultilevel"/>
    <w:tmpl w:val="E9B4499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182821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6C"/>
    <w:rsid w:val="000A1F3E"/>
    <w:rsid w:val="001379F9"/>
    <w:rsid w:val="003A66F4"/>
    <w:rsid w:val="003C6F35"/>
    <w:rsid w:val="004C32E1"/>
    <w:rsid w:val="005105DA"/>
    <w:rsid w:val="006757CF"/>
    <w:rsid w:val="006922CB"/>
    <w:rsid w:val="007A556C"/>
    <w:rsid w:val="00A63F10"/>
    <w:rsid w:val="00B92BAE"/>
    <w:rsid w:val="00BD23A3"/>
    <w:rsid w:val="00D60B32"/>
    <w:rsid w:val="00E12A01"/>
    <w:rsid w:val="00E175CF"/>
    <w:rsid w:val="00E30550"/>
    <w:rsid w:val="00EC37FC"/>
    <w:rsid w:val="00F50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C47A"/>
  <w15:chartTrackingRefBased/>
  <w15:docId w15:val="{8979FAC9-561E-420F-8320-B91D237F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Laurizohn Christer HS ODO</dc:creator>
  <cp:keywords/>
  <dc:description/>
  <cp:lastModifiedBy>Jadeling Persson Eva RK HÄLSO- OCH SJUKVÅRD</cp:lastModifiedBy>
  <cp:revision>5</cp:revision>
  <dcterms:created xsi:type="dcterms:W3CDTF">2022-04-27T07:41:00Z</dcterms:created>
  <dcterms:modified xsi:type="dcterms:W3CDTF">2022-04-27T07:43:00Z</dcterms:modified>
</cp:coreProperties>
</file>