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6A91" w14:textId="6E523747" w:rsidR="00986E04" w:rsidRDefault="009B1FAE" w:rsidP="00986E04">
      <w:pPr>
        <w:pStyle w:val="Rubrik"/>
        <w:rPr>
          <w:sz w:val="28"/>
          <w:szCs w:val="28"/>
        </w:rPr>
      </w:pPr>
      <w:r>
        <w:t>Dragon Medical One – Införandeprocess</w:t>
      </w:r>
    </w:p>
    <w:p w14:paraId="1670AF42" w14:textId="59F950F3" w:rsidR="00986E04" w:rsidRDefault="00986E04" w:rsidP="00986E04">
      <w:pPr>
        <w:pBdr>
          <w:bottom w:val="single" w:sz="6" w:space="1" w:color="auto"/>
        </w:pBdr>
        <w:rPr>
          <w:b/>
        </w:rPr>
      </w:pPr>
      <w:bookmarkStart w:id="0" w:name="_Toc328994705"/>
      <w:bookmarkStart w:id="1" w:name="_Toc338760453"/>
      <w:bookmarkStart w:id="2" w:name="_Toc338760517"/>
    </w:p>
    <w:p w14:paraId="4CA3650D" w14:textId="77777777" w:rsidR="009B1FAE" w:rsidRDefault="009B1FAE" w:rsidP="00986E04">
      <w:pPr>
        <w:pBdr>
          <w:bottom w:val="single" w:sz="6" w:space="1" w:color="auto"/>
        </w:pBdr>
        <w:rPr>
          <w:b/>
        </w:rPr>
      </w:pPr>
    </w:p>
    <w:p w14:paraId="7C002C66" w14:textId="77777777" w:rsidR="00986E04" w:rsidRDefault="00986E04" w:rsidP="00986E04">
      <w:pPr>
        <w:rPr>
          <w:b/>
        </w:rPr>
      </w:pPr>
    </w:p>
    <w:p w14:paraId="2DB43274" w14:textId="77777777" w:rsidR="00986E04" w:rsidRDefault="00986E04" w:rsidP="00986E04">
      <w:pPr>
        <w:rPr>
          <w:b/>
        </w:rPr>
      </w:pPr>
      <w:r>
        <w:rPr>
          <w:b/>
        </w:rPr>
        <w:t>Hitta i dokumentet</w:t>
      </w:r>
    </w:p>
    <w:p w14:paraId="7500471B" w14:textId="77777777" w:rsidR="00986E04" w:rsidRDefault="00986E04" w:rsidP="00986E04">
      <w:pPr>
        <w:rPr>
          <w:b/>
        </w:rPr>
      </w:pPr>
    </w:p>
    <w:p w14:paraId="26B4D524" w14:textId="77777777" w:rsidR="00986E04" w:rsidRDefault="00986E04" w:rsidP="00986E04">
      <w:pPr>
        <w:rPr>
          <w:b/>
        </w:rPr>
        <w:sectPr w:rsidR="00986E04" w:rsidSect="002B7C8B">
          <w:headerReference w:type="default" r:id="rId11"/>
          <w:footerReference w:type="default" r:id="rId12"/>
          <w:headerReference w:type="first" r:id="rId13"/>
          <w:pgSz w:w="11906" w:h="16838" w:code="9"/>
          <w:pgMar w:top="1758" w:right="1418" w:bottom="1701" w:left="1418" w:header="567" w:footer="964" w:gutter="0"/>
          <w:cols w:space="720"/>
          <w:docGrid w:linePitch="326"/>
        </w:sectPr>
      </w:pPr>
    </w:p>
    <w:p w14:paraId="096AC4B3" w14:textId="3442ADED" w:rsidR="00D86409" w:rsidRDefault="00986E04">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113952669" w:history="1">
        <w:r w:rsidR="00D86409" w:rsidRPr="00D377DD">
          <w:rPr>
            <w:rStyle w:val="Hyperlnk"/>
          </w:rPr>
          <w:t>Syfte</w:t>
        </w:r>
      </w:hyperlink>
    </w:p>
    <w:p w14:paraId="6008C6CA" w14:textId="7F304085" w:rsidR="00D86409" w:rsidRDefault="00F33CCD">
      <w:pPr>
        <w:pStyle w:val="Innehll1"/>
        <w:rPr>
          <w:rFonts w:asciiTheme="minorHAnsi" w:eastAsiaTheme="minorEastAsia" w:hAnsiTheme="minorHAnsi" w:cstheme="minorBidi"/>
          <w:color w:val="auto"/>
          <w:sz w:val="22"/>
          <w:szCs w:val="22"/>
          <w:u w:val="none"/>
        </w:rPr>
      </w:pPr>
      <w:hyperlink w:anchor="_Toc113952670" w:history="1">
        <w:r w:rsidR="00D86409" w:rsidRPr="00D377DD">
          <w:rPr>
            <w:rStyle w:val="Hyperlnk"/>
            <w:rFonts w:cstheme="majorHAnsi"/>
          </w:rPr>
          <w:t>Bakgrund</w:t>
        </w:r>
      </w:hyperlink>
    </w:p>
    <w:p w14:paraId="4BBF2353" w14:textId="13FB082C" w:rsidR="00D86409" w:rsidRDefault="00F33CCD">
      <w:pPr>
        <w:pStyle w:val="Innehll1"/>
        <w:rPr>
          <w:rFonts w:asciiTheme="minorHAnsi" w:eastAsiaTheme="minorEastAsia" w:hAnsiTheme="minorHAnsi" w:cstheme="minorBidi"/>
          <w:color w:val="auto"/>
          <w:sz w:val="22"/>
          <w:szCs w:val="22"/>
          <w:u w:val="none"/>
        </w:rPr>
      </w:pPr>
      <w:hyperlink w:anchor="_Toc113952671" w:history="1">
        <w:r w:rsidR="00D86409" w:rsidRPr="00D377DD">
          <w:rPr>
            <w:rStyle w:val="Hyperlnk"/>
          </w:rPr>
          <w:t>Tidslinje</w:t>
        </w:r>
      </w:hyperlink>
    </w:p>
    <w:p w14:paraId="7EBB0F39" w14:textId="4C7A7992" w:rsidR="00D86409" w:rsidRDefault="00F33CCD">
      <w:pPr>
        <w:pStyle w:val="Innehll1"/>
        <w:rPr>
          <w:rFonts w:asciiTheme="minorHAnsi" w:eastAsiaTheme="minorEastAsia" w:hAnsiTheme="minorHAnsi" w:cstheme="minorBidi"/>
          <w:color w:val="auto"/>
          <w:sz w:val="22"/>
          <w:szCs w:val="22"/>
          <w:u w:val="none"/>
        </w:rPr>
      </w:pPr>
      <w:hyperlink w:anchor="_Toc113952672" w:history="1">
        <w:r w:rsidR="00D86409" w:rsidRPr="00D377DD">
          <w:rPr>
            <w:rStyle w:val="Hyperlnk"/>
          </w:rPr>
          <w:t>Checklista</w:t>
        </w:r>
      </w:hyperlink>
    </w:p>
    <w:p w14:paraId="6944095F" w14:textId="5F1F42CD" w:rsidR="00D86409" w:rsidRDefault="00F33CCD">
      <w:pPr>
        <w:pStyle w:val="Innehll1"/>
        <w:rPr>
          <w:rFonts w:asciiTheme="minorHAnsi" w:eastAsiaTheme="minorEastAsia" w:hAnsiTheme="minorHAnsi" w:cstheme="minorBidi"/>
          <w:color w:val="auto"/>
          <w:sz w:val="22"/>
          <w:szCs w:val="22"/>
          <w:u w:val="none"/>
        </w:rPr>
      </w:pPr>
      <w:hyperlink w:anchor="_Toc113952673" w:history="1">
        <w:r w:rsidR="00D86409" w:rsidRPr="00D377DD">
          <w:rPr>
            <w:rStyle w:val="Hyperlnk"/>
          </w:rPr>
          <w:t>Uppdaterat från föregående version</w:t>
        </w:r>
      </w:hyperlink>
    </w:p>
    <w:p w14:paraId="495C20BC" w14:textId="72287187" w:rsidR="00986E04" w:rsidRDefault="00986E04" w:rsidP="00986E04">
      <w:pPr>
        <w:pStyle w:val="Innehll1"/>
      </w:pPr>
      <w:r>
        <w:fldChar w:fldCharType="end"/>
      </w:r>
    </w:p>
    <w:p w14:paraId="6E60B678" w14:textId="77777777" w:rsidR="00986E04" w:rsidRDefault="00986E04" w:rsidP="00986E04">
      <w:pPr>
        <w:sectPr w:rsidR="00986E04" w:rsidSect="000636E3">
          <w:type w:val="continuous"/>
          <w:pgSz w:w="11906" w:h="16838" w:code="9"/>
          <w:pgMar w:top="1758" w:right="1418" w:bottom="1701" w:left="1418" w:header="567" w:footer="964" w:gutter="0"/>
          <w:cols w:num="2" w:sep="1" w:space="720"/>
          <w:docGrid w:linePitch="272"/>
        </w:sectPr>
      </w:pPr>
    </w:p>
    <w:p w14:paraId="0F450232" w14:textId="77777777" w:rsidR="00986E04" w:rsidRDefault="00986E04" w:rsidP="00986E04">
      <w:pPr>
        <w:rPr>
          <w:b/>
        </w:rPr>
      </w:pPr>
      <w:r>
        <w:rPr>
          <w:b/>
          <w:noProof/>
        </w:rPr>
        <mc:AlternateContent>
          <mc:Choice Requires="wps">
            <w:drawing>
              <wp:anchor distT="0" distB="0" distL="114300" distR="114300" simplePos="0" relativeHeight="251659264" behindDoc="0" locked="0" layoutInCell="1" allowOverlap="1" wp14:anchorId="5FA7663D" wp14:editId="340A131E">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6A739"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strokecolor="black [3213]"/>
            </w:pict>
          </mc:Fallback>
        </mc:AlternateContent>
      </w:r>
    </w:p>
    <w:p w14:paraId="62EB6CB6" w14:textId="77777777" w:rsidR="00986E04" w:rsidRDefault="00986E04" w:rsidP="00986E04">
      <w:bookmarkStart w:id="3" w:name="_Toc338760454"/>
      <w:bookmarkStart w:id="4" w:name="_Toc338760518"/>
      <w:bookmarkStart w:id="5" w:name="_Toc338760584"/>
      <w:bookmarkStart w:id="6" w:name="_Toc338760600"/>
      <w:bookmarkStart w:id="7" w:name="_Toc338760609"/>
      <w:bookmarkEnd w:id="0"/>
      <w:bookmarkEnd w:id="1"/>
      <w:bookmarkEnd w:id="2"/>
    </w:p>
    <w:p w14:paraId="7CB67102" w14:textId="20064216" w:rsidR="00986E04" w:rsidRDefault="00986E04" w:rsidP="00986E04">
      <w:pPr>
        <w:pStyle w:val="Rubrik1"/>
      </w:pPr>
      <w:bookmarkStart w:id="8" w:name="_Toc358181225"/>
      <w:bookmarkStart w:id="9" w:name="_Toc113952669"/>
      <w:r w:rsidRPr="00332D94">
        <w:t>Syfte</w:t>
      </w:r>
      <w:bookmarkEnd w:id="3"/>
      <w:bookmarkEnd w:id="4"/>
      <w:bookmarkEnd w:id="5"/>
      <w:bookmarkEnd w:id="6"/>
      <w:bookmarkEnd w:id="7"/>
      <w:bookmarkEnd w:id="8"/>
      <w:bookmarkEnd w:id="9"/>
    </w:p>
    <w:p w14:paraId="522FB978" w14:textId="77777777" w:rsidR="009B1FAE" w:rsidRDefault="009B1FAE" w:rsidP="009B1FAE">
      <w:r>
        <w:t>Syftet är att beskriva aktiviteter och ansvarsfördelning vid ett införande av taligenkänning med systemstödet Dragon Medical One. Parter vid införandet är:</w:t>
      </w:r>
    </w:p>
    <w:p w14:paraId="0BEB24A9" w14:textId="77777777" w:rsidR="009B1FAE" w:rsidRDefault="009B1FAE" w:rsidP="009B1FAE">
      <w:r>
        <w:t>Verksamheten: Förvaltningsrepresentanter, kontaktperson/digitala samordnare/IT-samordnare och slutanvändare</w:t>
      </w:r>
    </w:p>
    <w:p w14:paraId="39812FC5" w14:textId="541A4C20" w:rsidR="00986E04" w:rsidRDefault="009B1FAE" w:rsidP="00986E04">
      <w:pPr>
        <w:rPr>
          <w:lang w:eastAsia="en-US"/>
        </w:rPr>
      </w:pPr>
      <w:r>
        <w:t>RK ITD: Objektspecialist från avdelningen Huvudjournal och Hälsoinformatik.</w:t>
      </w:r>
    </w:p>
    <w:p w14:paraId="0FE746B6" w14:textId="3DC9FF68" w:rsidR="009B1FAE" w:rsidRDefault="009B1FAE" w:rsidP="00986E04">
      <w:pPr>
        <w:rPr>
          <w:lang w:eastAsia="en-US"/>
        </w:rPr>
      </w:pPr>
    </w:p>
    <w:p w14:paraId="0FCFB1F8" w14:textId="77777777" w:rsidR="009B1FAE" w:rsidRDefault="009B1FAE" w:rsidP="009B1FAE">
      <w:pPr>
        <w:pStyle w:val="Rubrik1"/>
        <w:tabs>
          <w:tab w:val="left" w:pos="7385"/>
        </w:tabs>
        <w:rPr>
          <w:szCs w:val="26"/>
        </w:rPr>
      </w:pPr>
      <w:bookmarkStart w:id="10" w:name="_Toc62465750"/>
      <w:bookmarkStart w:id="11" w:name="_Toc113444988"/>
      <w:bookmarkStart w:id="12" w:name="_Toc113952670"/>
      <w:r w:rsidRPr="0017275F">
        <w:rPr>
          <w:rFonts w:cstheme="majorHAnsi"/>
          <w:szCs w:val="26"/>
        </w:rPr>
        <w:t>Bakgrund</w:t>
      </w:r>
      <w:bookmarkEnd w:id="10"/>
      <w:bookmarkEnd w:id="11"/>
      <w:bookmarkEnd w:id="12"/>
    </w:p>
    <w:p w14:paraId="2DEB1DE8" w14:textId="77777777" w:rsidR="009B1FAE" w:rsidRDefault="009B1FAE" w:rsidP="009B1FAE">
      <w:r>
        <w:t>Dragon Medical One är ett systemstöd för taligenkänning. Med hjälp av en mikrofon talar man in i programmet, och ut på skärmen kommer text. Programmet använder avancerad AI-teknik för att få ett bra igenkänningsresultat. Alla användare tilldelas sin egen profil som programmet sen lär sig hur just den personen talar. Allt man gör i programmet kommer att bygga upp den egna unika röstprofilen, talar in text, rättar text, lägger till nya ord m.m. Förutom att bara leverera den text som talas in, har programmet också andra funktioner som autotexter och steg-för-steg-kommandon.</w:t>
      </w:r>
      <w:bookmarkStart w:id="13" w:name="_Toc62465753"/>
    </w:p>
    <w:p w14:paraId="2FE72A91" w14:textId="77777777" w:rsidR="009B1FAE" w:rsidRDefault="009B1FAE" w:rsidP="009B1FAE"/>
    <w:p w14:paraId="5258DBFC" w14:textId="77777777" w:rsidR="009B1FAE" w:rsidRDefault="009B1FAE" w:rsidP="009B1FAE">
      <w:pPr>
        <w:pStyle w:val="Rubrik1"/>
      </w:pPr>
      <w:bookmarkStart w:id="14" w:name="_Toc113444989"/>
      <w:bookmarkStart w:id="15" w:name="_Toc113952671"/>
      <w:r>
        <w:t>Tidslinje</w:t>
      </w:r>
      <w:bookmarkEnd w:id="14"/>
      <w:bookmarkEnd w:id="15"/>
    </w:p>
    <w:p w14:paraId="35FC2E2F" w14:textId="77777777" w:rsidR="009B1FAE" w:rsidRDefault="009B1FAE" w:rsidP="009B1FAE">
      <w:r>
        <w:t xml:space="preserve">Tidslinjen visualiserar aktiviteter och i vilket ordning dessa behöver göras för ett lyckat införande. Tidslinjen syftar också till att visa att införandet har ett tydligt start- och stoppdatum där stoppdatum blir övergången från en införandeprocess till regional systemförvaltning. </w:t>
      </w:r>
    </w:p>
    <w:p w14:paraId="287CC6DA" w14:textId="77777777" w:rsidR="00322A77" w:rsidRDefault="00322A77" w:rsidP="009B1FAE"/>
    <w:p w14:paraId="5964F820" w14:textId="19F2CBD1" w:rsidR="00D443F4" w:rsidRDefault="00D45527" w:rsidP="009B1FAE">
      <w:r>
        <w:rPr>
          <w:noProof/>
        </w:rPr>
        <w:drawing>
          <wp:inline distT="0" distB="0" distL="0" distR="0" wp14:anchorId="1281BE56" wp14:editId="7B9B6D5A">
            <wp:extent cx="5759450" cy="246253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462530"/>
                    </a:xfrm>
                    <a:prstGeom prst="rect">
                      <a:avLst/>
                    </a:prstGeom>
                  </pic:spPr>
                </pic:pic>
              </a:graphicData>
            </a:graphic>
          </wp:inline>
        </w:drawing>
      </w:r>
    </w:p>
    <w:p w14:paraId="680C0196" w14:textId="77777777" w:rsidR="00D45527" w:rsidRDefault="00D45527" w:rsidP="009B1FAE"/>
    <w:p w14:paraId="490F6AFB" w14:textId="77777777" w:rsidR="009B1FAE" w:rsidRDefault="009B1FAE" w:rsidP="009B1FAE">
      <w:pPr>
        <w:pStyle w:val="Rubrik2"/>
      </w:pPr>
      <w:r>
        <w:lastRenderedPageBreak/>
        <w:t>Verksamhetsförberedelser</w:t>
      </w:r>
    </w:p>
    <w:p w14:paraId="6F87F666" w14:textId="198F5348" w:rsidR="009B1FAE" w:rsidRDefault="009B1FAE" w:rsidP="009B1FAE">
      <w:r>
        <w:t>Verksamhetsförberedelser är helt och hållet verksamhetens/förvaltningarnas ansvar att</w:t>
      </w:r>
      <w:r w:rsidR="00E559C6">
        <w:t xml:space="preserve"> </w:t>
      </w:r>
      <w:r>
        <w:t xml:space="preserve">säkerställa. </w:t>
      </w:r>
    </w:p>
    <w:p w14:paraId="4E049161" w14:textId="77777777" w:rsidR="009B1FAE" w:rsidRDefault="009B1FAE" w:rsidP="009B1FAE">
      <w:r>
        <w:t xml:space="preserve">Exempel på verksamhetsförberedelser som ska göras innan en verksamhet är aktuell för taligenkänning: </w:t>
      </w:r>
    </w:p>
    <w:p w14:paraId="204A067D" w14:textId="36A1271F" w:rsidR="009B1FAE" w:rsidRDefault="009B1FAE" w:rsidP="009B1FAE">
      <w:pPr>
        <w:pStyle w:val="Liststycke"/>
        <w:numPr>
          <w:ilvl w:val="0"/>
          <w:numId w:val="16"/>
        </w:numPr>
      </w:pPr>
      <w:r>
        <w:t xml:space="preserve">Fastställ rutiner för taligenkänning, i vilka moment det ska användas och </w:t>
      </w:r>
      <w:r w:rsidR="00E559C6">
        <w:t>inte.</w:t>
      </w:r>
    </w:p>
    <w:p w14:paraId="52E7B17E" w14:textId="77777777" w:rsidR="009B1FAE" w:rsidRDefault="009B1FAE" w:rsidP="009B1FAE">
      <w:pPr>
        <w:pStyle w:val="Liststycke"/>
        <w:numPr>
          <w:ilvl w:val="0"/>
          <w:numId w:val="16"/>
        </w:numPr>
      </w:pPr>
      <w:r>
        <w:t>Vad och hur man hanterar kringaktiviteter som inte kan tas om hand om med hjälp av taligenkänning, t.ex. administrativa uppgifter som i dagsläget hanteras via diktering.</w:t>
      </w:r>
    </w:p>
    <w:p w14:paraId="1D90FE93" w14:textId="77777777" w:rsidR="009B1FAE" w:rsidRDefault="009B1FAE" w:rsidP="009B1FAE">
      <w:pPr>
        <w:pStyle w:val="Liststycke"/>
        <w:numPr>
          <w:ilvl w:val="0"/>
          <w:numId w:val="16"/>
        </w:numPr>
      </w:pPr>
      <w:r>
        <w:t xml:space="preserve">Förändringsledning och information till slutanvändare kring ett nytt arbetssätt. </w:t>
      </w:r>
    </w:p>
    <w:p w14:paraId="5E831209" w14:textId="77777777" w:rsidR="009B1FAE" w:rsidRDefault="009B1FAE" w:rsidP="009B1FAE">
      <w:pPr>
        <w:pStyle w:val="Liststycke"/>
        <w:numPr>
          <w:ilvl w:val="0"/>
          <w:numId w:val="16"/>
        </w:numPr>
      </w:pPr>
      <w:r>
        <w:t>Fundering kring nyttoeffekter och hur dessa ska följas upp/utvärderas.</w:t>
      </w:r>
    </w:p>
    <w:p w14:paraId="6557CBCB" w14:textId="77777777" w:rsidR="009B1FAE" w:rsidRDefault="009B1FAE" w:rsidP="009B1FAE">
      <w:pPr>
        <w:pStyle w:val="Liststycke"/>
        <w:numPr>
          <w:ilvl w:val="0"/>
          <w:numId w:val="16"/>
        </w:numPr>
      </w:pPr>
      <w:r>
        <w:t>Säkerställa god kunskap i journalsystemet.</w:t>
      </w:r>
    </w:p>
    <w:p w14:paraId="7432137E" w14:textId="77777777" w:rsidR="009B1FAE" w:rsidRDefault="009B1FAE" w:rsidP="009B1FAE">
      <w:pPr>
        <w:pStyle w:val="Liststycke"/>
        <w:numPr>
          <w:ilvl w:val="0"/>
          <w:numId w:val="16"/>
        </w:numPr>
      </w:pPr>
      <w:r>
        <w:t>Utse medarbetare som deltar inom införandet.</w:t>
      </w:r>
    </w:p>
    <w:p w14:paraId="4022C66E" w14:textId="77777777" w:rsidR="009B1FAE" w:rsidRDefault="009B1FAE" w:rsidP="009B1FAE">
      <w:pPr>
        <w:pStyle w:val="Liststycke"/>
        <w:numPr>
          <w:ilvl w:val="0"/>
          <w:numId w:val="16"/>
        </w:numPr>
      </w:pPr>
      <w:r>
        <w:t>Utse kontaktperson som deltar inom införandet.</w:t>
      </w:r>
    </w:p>
    <w:p w14:paraId="112334F8" w14:textId="77777777" w:rsidR="009B1FAE" w:rsidRDefault="009B1FAE" w:rsidP="009B1FAE">
      <w:pPr>
        <w:pStyle w:val="Liststycke"/>
        <w:numPr>
          <w:ilvl w:val="0"/>
          <w:numId w:val="16"/>
        </w:numPr>
      </w:pPr>
      <w:r>
        <w:t>Information till ledning, chefer och andra berörda.</w:t>
      </w:r>
    </w:p>
    <w:p w14:paraId="0EB3BAC1" w14:textId="77777777" w:rsidR="009B1FAE" w:rsidRDefault="009B1FAE" w:rsidP="009B1FAE">
      <w:pPr>
        <w:pStyle w:val="Liststycke"/>
        <w:numPr>
          <w:ilvl w:val="0"/>
          <w:numId w:val="16"/>
        </w:numPr>
      </w:pPr>
      <w:r>
        <w:t>Besluta om format för införandet, påbörja dialog med RK ITD</w:t>
      </w:r>
    </w:p>
    <w:p w14:paraId="20103B7B" w14:textId="77777777" w:rsidR="009B1FAE" w:rsidRDefault="009B1FAE" w:rsidP="009B1FAE"/>
    <w:p w14:paraId="29C6AE75" w14:textId="77777777" w:rsidR="009B1FAE" w:rsidRDefault="009B1FAE" w:rsidP="009B1FAE">
      <w:pPr>
        <w:pStyle w:val="Rubrik2"/>
      </w:pPr>
      <w:r>
        <w:t>Uppstartsmöte</w:t>
      </w:r>
    </w:p>
    <w:p w14:paraId="461F9100" w14:textId="2534995B" w:rsidR="009B1FAE" w:rsidRDefault="009B1FAE" w:rsidP="009B1FAE">
      <w:r>
        <w:t>Uppstartsmöte syftar till att vara det möte som påbörjar införandeprocessen. Under mötet kontrolleras checklistan för aktiviteter innan uppstartsmöte och sen läggs planeringen framöver.</w:t>
      </w:r>
      <w:r w:rsidR="00857A0A">
        <w:t xml:space="preserve"> </w:t>
      </w:r>
      <w:r w:rsidR="00857A0A" w:rsidRPr="00D82F66">
        <w:t>Exempel</w:t>
      </w:r>
      <w:r w:rsidR="00A73C78" w:rsidRPr="00D82F66">
        <w:t xml:space="preserve"> kan vara</w:t>
      </w:r>
      <w:r w:rsidR="006303C2" w:rsidRPr="00D82F66">
        <w:t>:</w:t>
      </w:r>
    </w:p>
    <w:p w14:paraId="440A8651" w14:textId="02FB4DAB" w:rsidR="009B1FAE" w:rsidRDefault="009B1FAE" w:rsidP="009B1FAE">
      <w:pPr>
        <w:pStyle w:val="Liststycke"/>
        <w:numPr>
          <w:ilvl w:val="0"/>
          <w:numId w:val="15"/>
        </w:numPr>
      </w:pPr>
      <w:r>
        <w:t>Start- och stoppdatum för införandet.</w:t>
      </w:r>
      <w:r w:rsidR="00E97A11">
        <w:t xml:space="preserve"> </w:t>
      </w:r>
    </w:p>
    <w:p w14:paraId="62CF98AE" w14:textId="77777777" w:rsidR="009B1FAE" w:rsidRDefault="009B1FAE" w:rsidP="009B1FAE">
      <w:pPr>
        <w:pStyle w:val="Liststycke"/>
        <w:numPr>
          <w:ilvl w:val="0"/>
          <w:numId w:val="15"/>
        </w:numPr>
      </w:pPr>
      <w:r>
        <w:t>Planering av eventuell introduktion/demo av programmet innan utbildning.</w:t>
      </w:r>
    </w:p>
    <w:p w14:paraId="51214172" w14:textId="77777777" w:rsidR="009B1FAE" w:rsidRDefault="009B1FAE" w:rsidP="009B1FAE">
      <w:pPr>
        <w:pStyle w:val="Liststycke"/>
        <w:numPr>
          <w:ilvl w:val="0"/>
          <w:numId w:val="15"/>
        </w:numPr>
      </w:pPr>
      <w:r>
        <w:t>Planering av uppföljning mot slutanvändare.</w:t>
      </w:r>
    </w:p>
    <w:p w14:paraId="03D8A462" w14:textId="77777777" w:rsidR="009B1FAE" w:rsidRDefault="009B1FAE" w:rsidP="009B1FAE">
      <w:pPr>
        <w:pStyle w:val="Liststycke"/>
        <w:numPr>
          <w:ilvl w:val="0"/>
          <w:numId w:val="15"/>
        </w:numPr>
      </w:pPr>
      <w:r>
        <w:t>Planering av uppföljning inom införandeprocessen och mötesfrekvens.</w:t>
      </w:r>
    </w:p>
    <w:p w14:paraId="292701A5" w14:textId="77777777" w:rsidR="009B1FAE" w:rsidRDefault="009B1FAE" w:rsidP="009B1FAE">
      <w:pPr>
        <w:pStyle w:val="Liststycke"/>
        <w:numPr>
          <w:ilvl w:val="0"/>
          <w:numId w:val="15"/>
        </w:numPr>
      </w:pPr>
      <w:r>
        <w:t>Frekvens av rapporter från användandet av programmet inom införandeprocessen.</w:t>
      </w:r>
    </w:p>
    <w:p w14:paraId="5876D9B4" w14:textId="77777777" w:rsidR="009B1FAE" w:rsidRDefault="009B1FAE" w:rsidP="009B1FAE">
      <w:pPr>
        <w:pStyle w:val="Liststycke"/>
        <w:numPr>
          <w:ilvl w:val="0"/>
          <w:numId w:val="15"/>
        </w:numPr>
      </w:pPr>
      <w:r>
        <w:t>Vilket användarstöd ska ges efter utbildning fram till förvaltningsfasen?</w:t>
      </w:r>
    </w:p>
    <w:p w14:paraId="628AA229" w14:textId="77777777" w:rsidR="009B1FAE" w:rsidRDefault="009B1FAE" w:rsidP="009B1FAE"/>
    <w:p w14:paraId="7B7BDB94" w14:textId="77777777" w:rsidR="009B1FAE" w:rsidRDefault="009B1FAE" w:rsidP="009B1FAE">
      <w:pPr>
        <w:pStyle w:val="Rubrik2"/>
      </w:pPr>
      <w:r>
        <w:t>Utbildning</w:t>
      </w:r>
    </w:p>
    <w:p w14:paraId="59A3B10E" w14:textId="77777777" w:rsidR="009B1FAE" w:rsidRDefault="009B1FAE" w:rsidP="009B1FAE">
      <w:r>
        <w:t>Utbildningsperioden syftar till att utbilda slutanvändarna. Den bör också ha ett start- och stoppdatum för att inte riskera att få ett utdraget införande. Användare som av olika anledningar inte kan genomföra utbildning inom perioden fångas upp på annat sätt.</w:t>
      </w:r>
    </w:p>
    <w:p w14:paraId="77CC3C53" w14:textId="77777777" w:rsidR="009B1FAE" w:rsidRDefault="009B1FAE" w:rsidP="009B1FAE">
      <w:r>
        <w:t>Utbildningsperioden är också startskottet för användandet av taligenkänning kliniskt i verksamheten då man efter avslutad utbildning får fri tillgång till programmet och dess funktioner.</w:t>
      </w:r>
    </w:p>
    <w:p w14:paraId="71333EF9" w14:textId="3431EA3F" w:rsidR="009B1FAE" w:rsidRDefault="009B1FAE" w:rsidP="009B1FAE">
      <w:pPr>
        <w:pStyle w:val="Liststycke"/>
        <w:numPr>
          <w:ilvl w:val="0"/>
          <w:numId w:val="15"/>
        </w:numPr>
      </w:pPr>
      <w:r>
        <w:t xml:space="preserve">När, hur och av vem utbildningen ska genomföras beslutas </w:t>
      </w:r>
      <w:r w:rsidR="00C31968" w:rsidRPr="00D82F66">
        <w:t xml:space="preserve">under </w:t>
      </w:r>
      <w:r w:rsidR="00965D34" w:rsidRPr="00D82F66">
        <w:t>planeringen med RK ITD eller senast</w:t>
      </w:r>
      <w:r w:rsidR="00965D34">
        <w:t xml:space="preserve"> </w:t>
      </w:r>
      <w:r>
        <w:t>vid uppstarsmötet.</w:t>
      </w:r>
    </w:p>
    <w:p w14:paraId="5603DC5A" w14:textId="77777777" w:rsidR="009B1FAE" w:rsidRDefault="009B1FAE" w:rsidP="009B1FAE">
      <w:pPr>
        <w:pStyle w:val="Liststycke"/>
        <w:numPr>
          <w:ilvl w:val="0"/>
          <w:numId w:val="15"/>
        </w:numPr>
      </w:pPr>
      <w:r>
        <w:t>Hur användarstödet ser ut efter avslutad utbildning beslutas om vid uppstartsmötet.</w:t>
      </w:r>
    </w:p>
    <w:p w14:paraId="7FCEF2AB" w14:textId="2851F0DB" w:rsidR="003231F7" w:rsidRPr="00D82F66" w:rsidRDefault="004E24A4" w:rsidP="009B1FAE">
      <w:pPr>
        <w:pStyle w:val="Liststycke"/>
        <w:numPr>
          <w:ilvl w:val="0"/>
          <w:numId w:val="15"/>
        </w:numPr>
      </w:pPr>
      <w:r w:rsidRPr="00D82F66">
        <w:t>När och hur u</w:t>
      </w:r>
      <w:r w:rsidR="001D6CC8" w:rsidRPr="00D82F66">
        <w:t xml:space="preserve">ppföljningsmöten </w:t>
      </w:r>
      <w:r w:rsidRPr="00D82F66">
        <w:t xml:space="preserve">ska genomföras beslutas under planeringen med </w:t>
      </w:r>
      <w:r w:rsidR="009E436C" w:rsidRPr="00D82F66">
        <w:t>RK ITD</w:t>
      </w:r>
      <w:r w:rsidR="005E3AC1" w:rsidRPr="00D82F66">
        <w:t xml:space="preserve"> </w:t>
      </w:r>
      <w:r w:rsidR="009E2904" w:rsidRPr="00D82F66">
        <w:t>eller vid uppstartsmötet.</w:t>
      </w:r>
    </w:p>
    <w:p w14:paraId="66542C20" w14:textId="77777777" w:rsidR="009B1FAE" w:rsidRDefault="009B1FAE" w:rsidP="009B1FAE"/>
    <w:p w14:paraId="462DAE5A" w14:textId="77777777" w:rsidR="009B1FAE" w:rsidRDefault="009B1FAE" w:rsidP="009B1FAE">
      <w:pPr>
        <w:pStyle w:val="Rubrik2"/>
      </w:pPr>
      <w:r>
        <w:t>Införande</w:t>
      </w:r>
    </w:p>
    <w:p w14:paraId="61868DA8" w14:textId="77777777" w:rsidR="009B1FAE" w:rsidRDefault="009B1FAE" w:rsidP="009B1FAE">
      <w:r>
        <w:t>Införandet startar i samband med utbildningsinsatsen då slutanvändarna direkt efter avslutad utbildning kan börja arbeta kliniskt med taligenkänning. Under införandetiden fram till att processen avslutas hålls tidigare planerade aktiviteter som bestämts om vid uppstartsmötet. Exempel kan vara:</w:t>
      </w:r>
    </w:p>
    <w:p w14:paraId="01F55381" w14:textId="77777777" w:rsidR="009B1FAE" w:rsidRDefault="009B1FAE" w:rsidP="009B1FAE">
      <w:pPr>
        <w:pStyle w:val="Liststycke"/>
        <w:numPr>
          <w:ilvl w:val="0"/>
          <w:numId w:val="15"/>
        </w:numPr>
      </w:pPr>
      <w:r>
        <w:t>Avstämningar inom införandet</w:t>
      </w:r>
    </w:p>
    <w:p w14:paraId="3B913DCD" w14:textId="77777777" w:rsidR="009B1FAE" w:rsidRDefault="009B1FAE" w:rsidP="009B1FAE">
      <w:pPr>
        <w:pStyle w:val="Liststycke"/>
        <w:numPr>
          <w:ilvl w:val="0"/>
          <w:numId w:val="15"/>
        </w:numPr>
      </w:pPr>
      <w:r>
        <w:t>Uppföljningsrapporter</w:t>
      </w:r>
    </w:p>
    <w:p w14:paraId="4DFCB552" w14:textId="77777777" w:rsidR="009B1FAE" w:rsidRDefault="009B1FAE" w:rsidP="009B1FAE">
      <w:pPr>
        <w:pStyle w:val="Liststycke"/>
        <w:numPr>
          <w:ilvl w:val="0"/>
          <w:numId w:val="15"/>
        </w:numPr>
      </w:pPr>
      <w:r>
        <w:t>Användarstöd och avstämningar</w:t>
      </w:r>
    </w:p>
    <w:p w14:paraId="66F8A7E1" w14:textId="3763D181" w:rsidR="009B1FAE" w:rsidRPr="002F059E" w:rsidRDefault="009B1FAE">
      <w:r>
        <w:t xml:space="preserve">6 veckor efter påbörjad utbildningsinsats avslutas införandet och verksamheten övergår till normal regional förvaltning med drift, support och användarstöd via RK ITD och </w:t>
      </w:r>
      <w:hyperlink r:id="rId15" w:history="1">
        <w:r w:rsidRPr="006068A5">
          <w:rPr>
            <w:rStyle w:val="Hyperlnk"/>
          </w:rPr>
          <w:t>ServiceDesk+</w:t>
        </w:r>
      </w:hyperlink>
      <w:r>
        <w:t>.</w:t>
      </w:r>
      <w:bookmarkStart w:id="16" w:name="_Toc113444990"/>
    </w:p>
    <w:p w14:paraId="7B8FCF3A" w14:textId="77777777" w:rsidR="00264BFE" w:rsidRDefault="00264BFE" w:rsidP="009B1FAE">
      <w:pPr>
        <w:pStyle w:val="Rubrik1"/>
      </w:pPr>
      <w:bookmarkStart w:id="17" w:name="_Toc113952672"/>
    </w:p>
    <w:p w14:paraId="05AF0FBC" w14:textId="4EA3C37F" w:rsidR="009B1FAE" w:rsidRDefault="009B1FAE" w:rsidP="009B1FAE">
      <w:pPr>
        <w:pStyle w:val="Rubrik1"/>
      </w:pPr>
      <w:r>
        <w:t>Checklista</w:t>
      </w:r>
      <w:bookmarkEnd w:id="16"/>
      <w:bookmarkEnd w:id="17"/>
    </w:p>
    <w:p w14:paraId="27FB5060" w14:textId="2269DD0E" w:rsidR="009B1FAE" w:rsidRDefault="009B1FAE" w:rsidP="009B1FAE">
      <w:pPr>
        <w:rPr>
          <w:lang w:eastAsia="en-US"/>
        </w:rPr>
      </w:pPr>
      <w:r w:rsidRPr="00227590">
        <w:rPr>
          <w:b/>
          <w:bCs/>
          <w:lang w:eastAsia="en-US"/>
        </w:rPr>
        <w:t>Aktiviteter och period</w:t>
      </w:r>
      <w:r>
        <w:rPr>
          <w:lang w:eastAsia="en-US"/>
        </w:rPr>
        <w:tab/>
      </w:r>
      <w:r>
        <w:rPr>
          <w:lang w:eastAsia="en-US"/>
        </w:rPr>
        <w:tab/>
      </w:r>
      <w:r>
        <w:rPr>
          <w:lang w:eastAsia="en-US"/>
        </w:rPr>
        <w:tab/>
      </w:r>
      <w:r>
        <w:rPr>
          <w:lang w:eastAsia="en-US"/>
        </w:rPr>
        <w:tab/>
      </w:r>
      <w:r w:rsidRPr="00293133">
        <w:rPr>
          <w:b/>
          <w:bCs/>
          <w:lang w:eastAsia="en-US"/>
        </w:rPr>
        <w:t>Ansvar</w:t>
      </w:r>
      <w:r w:rsidR="00E559C6">
        <w:rPr>
          <w:lang w:eastAsia="en-US"/>
        </w:rPr>
        <w:t xml:space="preserve">         </w:t>
      </w:r>
      <w:r w:rsidRPr="00293133">
        <w:rPr>
          <w:b/>
          <w:bCs/>
          <w:lang w:eastAsia="en-US"/>
        </w:rPr>
        <w:t>Datum/klart</w:t>
      </w:r>
    </w:p>
    <w:p w14:paraId="6F474BBD" w14:textId="77777777" w:rsidR="009B1FAE" w:rsidRDefault="009B1FAE" w:rsidP="009B1FAE">
      <w:pPr>
        <w:rPr>
          <w:lang w:eastAsia="en-US"/>
        </w:rPr>
      </w:pPr>
      <w:r w:rsidRPr="00B4748B">
        <w:rPr>
          <w:b/>
          <w:bCs/>
          <w:lang w:eastAsia="en-US"/>
        </w:rPr>
        <w:t>Verksamhetsförbere</w:t>
      </w:r>
      <w:r>
        <w:rPr>
          <w:b/>
          <w:bCs/>
          <w:lang w:eastAsia="en-US"/>
        </w:rPr>
        <w:t>delser</w:t>
      </w:r>
    </w:p>
    <w:tbl>
      <w:tblPr>
        <w:tblStyle w:val="Tabellrutnt"/>
        <w:tblW w:w="9063" w:type="dxa"/>
        <w:tblLook w:val="04A0" w:firstRow="1" w:lastRow="0" w:firstColumn="1" w:lastColumn="0" w:noHBand="0" w:noVBand="1"/>
      </w:tblPr>
      <w:tblGrid>
        <w:gridCol w:w="6374"/>
        <w:gridCol w:w="1418"/>
        <w:gridCol w:w="1271"/>
      </w:tblGrid>
      <w:tr w:rsidR="009B1FAE" w14:paraId="5BE30B31" w14:textId="77777777" w:rsidTr="006849B6">
        <w:tc>
          <w:tcPr>
            <w:tcW w:w="6374" w:type="dxa"/>
          </w:tcPr>
          <w:p w14:paraId="1D317BD6" w14:textId="77777777" w:rsidR="009B1FAE" w:rsidRDefault="009B1FAE" w:rsidP="006849B6">
            <w:pPr>
              <w:rPr>
                <w:lang w:eastAsia="en-US"/>
              </w:rPr>
            </w:pPr>
            <w:r>
              <w:rPr>
                <w:lang w:eastAsia="en-US"/>
              </w:rPr>
              <w:t>Fastställa rutiner för användning av taligenkänning</w:t>
            </w:r>
          </w:p>
        </w:tc>
        <w:tc>
          <w:tcPr>
            <w:tcW w:w="1418" w:type="dxa"/>
          </w:tcPr>
          <w:p w14:paraId="0E68830F" w14:textId="77777777" w:rsidR="009B1FAE" w:rsidRDefault="009B1FAE" w:rsidP="006849B6">
            <w:pPr>
              <w:rPr>
                <w:lang w:eastAsia="en-US"/>
              </w:rPr>
            </w:pPr>
            <w:r>
              <w:rPr>
                <w:lang w:eastAsia="en-US"/>
              </w:rPr>
              <w:t>Verksamhet</w:t>
            </w:r>
          </w:p>
        </w:tc>
        <w:tc>
          <w:tcPr>
            <w:tcW w:w="1271" w:type="dxa"/>
          </w:tcPr>
          <w:p w14:paraId="5A788068" w14:textId="77777777" w:rsidR="009B1FAE" w:rsidRDefault="009B1FAE" w:rsidP="006849B6">
            <w:pPr>
              <w:rPr>
                <w:lang w:eastAsia="en-US"/>
              </w:rPr>
            </w:pPr>
          </w:p>
        </w:tc>
      </w:tr>
      <w:tr w:rsidR="009B1FAE" w14:paraId="2598804C" w14:textId="77777777" w:rsidTr="006849B6">
        <w:tc>
          <w:tcPr>
            <w:tcW w:w="6374" w:type="dxa"/>
          </w:tcPr>
          <w:p w14:paraId="303148D8" w14:textId="77777777" w:rsidR="009B1FAE" w:rsidRDefault="009B1FAE" w:rsidP="006849B6">
            <w:pPr>
              <w:rPr>
                <w:lang w:eastAsia="en-US"/>
              </w:rPr>
            </w:pPr>
            <w:r>
              <w:rPr>
                <w:lang w:eastAsia="en-US"/>
              </w:rPr>
              <w:t>Identifiera och säkerställa rutiner för kringaktiviteter som inte kan hanteras med taligenkänning</w:t>
            </w:r>
          </w:p>
        </w:tc>
        <w:tc>
          <w:tcPr>
            <w:tcW w:w="1418" w:type="dxa"/>
          </w:tcPr>
          <w:p w14:paraId="6DC44B7A" w14:textId="77777777" w:rsidR="009B1FAE" w:rsidRDefault="009B1FAE" w:rsidP="006849B6">
            <w:pPr>
              <w:rPr>
                <w:lang w:eastAsia="en-US"/>
              </w:rPr>
            </w:pPr>
            <w:r>
              <w:rPr>
                <w:lang w:eastAsia="en-US"/>
              </w:rPr>
              <w:t>Verksamhet</w:t>
            </w:r>
          </w:p>
        </w:tc>
        <w:tc>
          <w:tcPr>
            <w:tcW w:w="1271" w:type="dxa"/>
          </w:tcPr>
          <w:p w14:paraId="1E906C53" w14:textId="77777777" w:rsidR="009B1FAE" w:rsidRDefault="009B1FAE" w:rsidP="006849B6">
            <w:pPr>
              <w:rPr>
                <w:lang w:eastAsia="en-US"/>
              </w:rPr>
            </w:pPr>
          </w:p>
        </w:tc>
      </w:tr>
      <w:tr w:rsidR="009B1FAE" w14:paraId="46C2F505" w14:textId="77777777" w:rsidTr="006849B6">
        <w:tc>
          <w:tcPr>
            <w:tcW w:w="6374" w:type="dxa"/>
          </w:tcPr>
          <w:p w14:paraId="667EBCC6" w14:textId="77777777" w:rsidR="009B1FAE" w:rsidRDefault="009B1FAE" w:rsidP="006849B6">
            <w:pPr>
              <w:rPr>
                <w:lang w:eastAsia="en-US"/>
              </w:rPr>
            </w:pPr>
            <w:r>
              <w:rPr>
                <w:lang w:eastAsia="en-US"/>
              </w:rPr>
              <w:t>Information till användarna kring förändrade arbetssätt och förändringsledning</w:t>
            </w:r>
          </w:p>
        </w:tc>
        <w:tc>
          <w:tcPr>
            <w:tcW w:w="1418" w:type="dxa"/>
          </w:tcPr>
          <w:p w14:paraId="271CD79D" w14:textId="77777777" w:rsidR="009B1FAE" w:rsidRDefault="009B1FAE" w:rsidP="006849B6">
            <w:pPr>
              <w:rPr>
                <w:lang w:eastAsia="en-US"/>
              </w:rPr>
            </w:pPr>
            <w:r>
              <w:rPr>
                <w:lang w:eastAsia="en-US"/>
              </w:rPr>
              <w:t>Verksamhet</w:t>
            </w:r>
          </w:p>
        </w:tc>
        <w:tc>
          <w:tcPr>
            <w:tcW w:w="1271" w:type="dxa"/>
          </w:tcPr>
          <w:p w14:paraId="18887A27" w14:textId="77777777" w:rsidR="009B1FAE" w:rsidRDefault="009B1FAE" w:rsidP="006849B6">
            <w:pPr>
              <w:rPr>
                <w:lang w:eastAsia="en-US"/>
              </w:rPr>
            </w:pPr>
          </w:p>
        </w:tc>
      </w:tr>
      <w:tr w:rsidR="009B1FAE" w14:paraId="5FBF2088" w14:textId="77777777" w:rsidTr="006849B6">
        <w:tc>
          <w:tcPr>
            <w:tcW w:w="6374" w:type="dxa"/>
          </w:tcPr>
          <w:p w14:paraId="403EAC44" w14:textId="38D2985C" w:rsidR="009B1FAE" w:rsidRDefault="009B1FAE" w:rsidP="006849B6">
            <w:pPr>
              <w:rPr>
                <w:lang w:eastAsia="en-US"/>
              </w:rPr>
            </w:pPr>
            <w:r>
              <w:rPr>
                <w:lang w:eastAsia="en-US"/>
              </w:rPr>
              <w:t>Säkerställ kunskap för journaldokumentation</w:t>
            </w:r>
            <w:r w:rsidR="00FB795D">
              <w:rPr>
                <w:lang w:eastAsia="en-US"/>
              </w:rPr>
              <w:t xml:space="preserve"> </w:t>
            </w:r>
            <w:r w:rsidR="00FB795D" w:rsidRPr="00D82F66">
              <w:rPr>
                <w:lang w:eastAsia="en-US"/>
              </w:rPr>
              <w:t>i VAS</w:t>
            </w:r>
          </w:p>
        </w:tc>
        <w:tc>
          <w:tcPr>
            <w:tcW w:w="1418" w:type="dxa"/>
          </w:tcPr>
          <w:p w14:paraId="3F637250" w14:textId="77777777" w:rsidR="009B1FAE" w:rsidRDefault="009B1FAE" w:rsidP="006849B6">
            <w:pPr>
              <w:rPr>
                <w:lang w:eastAsia="en-US"/>
              </w:rPr>
            </w:pPr>
            <w:r>
              <w:rPr>
                <w:lang w:eastAsia="en-US"/>
              </w:rPr>
              <w:t>Verksamhet</w:t>
            </w:r>
          </w:p>
        </w:tc>
        <w:tc>
          <w:tcPr>
            <w:tcW w:w="1271" w:type="dxa"/>
          </w:tcPr>
          <w:p w14:paraId="65253715" w14:textId="77777777" w:rsidR="009B1FAE" w:rsidRDefault="009B1FAE" w:rsidP="006849B6">
            <w:pPr>
              <w:rPr>
                <w:lang w:eastAsia="en-US"/>
              </w:rPr>
            </w:pPr>
          </w:p>
        </w:tc>
      </w:tr>
      <w:tr w:rsidR="009B1FAE" w14:paraId="1430721F" w14:textId="77777777" w:rsidTr="006849B6">
        <w:tc>
          <w:tcPr>
            <w:tcW w:w="6374" w:type="dxa"/>
          </w:tcPr>
          <w:p w14:paraId="424FDD91" w14:textId="775A4C15" w:rsidR="009B1FAE" w:rsidRDefault="009B1FAE" w:rsidP="006849B6">
            <w:pPr>
              <w:rPr>
                <w:lang w:eastAsia="en-US"/>
              </w:rPr>
            </w:pPr>
            <w:r>
              <w:rPr>
                <w:lang w:eastAsia="en-US"/>
              </w:rPr>
              <w:t>Nyttoeffekter och hur dessa</w:t>
            </w:r>
            <w:r w:rsidR="00527E65">
              <w:rPr>
                <w:lang w:eastAsia="en-US"/>
              </w:rPr>
              <w:t xml:space="preserve"> </w:t>
            </w:r>
            <w:r w:rsidR="00527E65" w:rsidRPr="00D82F66">
              <w:rPr>
                <w:lang w:eastAsia="en-US"/>
              </w:rPr>
              <w:t>ska</w:t>
            </w:r>
            <w:r>
              <w:rPr>
                <w:lang w:eastAsia="en-US"/>
              </w:rPr>
              <w:t xml:space="preserve"> följas upp/utvärderas</w:t>
            </w:r>
          </w:p>
        </w:tc>
        <w:tc>
          <w:tcPr>
            <w:tcW w:w="1418" w:type="dxa"/>
          </w:tcPr>
          <w:p w14:paraId="0CF3ED8E" w14:textId="77777777" w:rsidR="009B1FAE" w:rsidRDefault="009B1FAE" w:rsidP="006849B6">
            <w:pPr>
              <w:rPr>
                <w:lang w:eastAsia="en-US"/>
              </w:rPr>
            </w:pPr>
            <w:r>
              <w:rPr>
                <w:lang w:eastAsia="en-US"/>
              </w:rPr>
              <w:t>Verksamhet</w:t>
            </w:r>
          </w:p>
        </w:tc>
        <w:tc>
          <w:tcPr>
            <w:tcW w:w="1271" w:type="dxa"/>
          </w:tcPr>
          <w:p w14:paraId="04ED06F4" w14:textId="77777777" w:rsidR="009B1FAE" w:rsidRDefault="009B1FAE" w:rsidP="006849B6">
            <w:pPr>
              <w:rPr>
                <w:lang w:eastAsia="en-US"/>
              </w:rPr>
            </w:pPr>
          </w:p>
        </w:tc>
      </w:tr>
      <w:tr w:rsidR="009B1FAE" w14:paraId="3C8B8B31" w14:textId="77777777" w:rsidTr="006849B6">
        <w:tc>
          <w:tcPr>
            <w:tcW w:w="6374" w:type="dxa"/>
          </w:tcPr>
          <w:p w14:paraId="2196BA93" w14:textId="77777777" w:rsidR="009B1FAE" w:rsidRDefault="009B1FAE" w:rsidP="006849B6">
            <w:pPr>
              <w:rPr>
                <w:lang w:eastAsia="en-US"/>
              </w:rPr>
            </w:pPr>
            <w:r>
              <w:rPr>
                <w:lang w:eastAsia="en-US"/>
              </w:rPr>
              <w:t>Identifiera deltagare vid införandet och skicka in till RK ITD för tilldelning av licenser</w:t>
            </w:r>
          </w:p>
        </w:tc>
        <w:tc>
          <w:tcPr>
            <w:tcW w:w="1418" w:type="dxa"/>
          </w:tcPr>
          <w:p w14:paraId="2E804C6E" w14:textId="77777777" w:rsidR="009B1FAE" w:rsidRDefault="009B1FAE" w:rsidP="006849B6">
            <w:pPr>
              <w:rPr>
                <w:lang w:eastAsia="en-US"/>
              </w:rPr>
            </w:pPr>
            <w:r>
              <w:rPr>
                <w:lang w:eastAsia="en-US"/>
              </w:rPr>
              <w:t>Verksamhet</w:t>
            </w:r>
          </w:p>
        </w:tc>
        <w:tc>
          <w:tcPr>
            <w:tcW w:w="1271" w:type="dxa"/>
          </w:tcPr>
          <w:p w14:paraId="0B00E631" w14:textId="77777777" w:rsidR="009B1FAE" w:rsidRDefault="009B1FAE" w:rsidP="006849B6">
            <w:pPr>
              <w:rPr>
                <w:lang w:eastAsia="en-US"/>
              </w:rPr>
            </w:pPr>
          </w:p>
        </w:tc>
      </w:tr>
      <w:tr w:rsidR="009B1FAE" w14:paraId="4F39D94A" w14:textId="77777777" w:rsidTr="006849B6">
        <w:tc>
          <w:tcPr>
            <w:tcW w:w="6374" w:type="dxa"/>
          </w:tcPr>
          <w:p w14:paraId="5067A2C7" w14:textId="77777777" w:rsidR="009B1FAE" w:rsidRDefault="009B1FAE" w:rsidP="006849B6">
            <w:pPr>
              <w:rPr>
                <w:lang w:eastAsia="en-US"/>
              </w:rPr>
            </w:pPr>
            <w:r>
              <w:rPr>
                <w:lang w:eastAsia="en-US"/>
              </w:rPr>
              <w:t>Identifiera vilka datorer som ska få programvaran installerad och skicka till RK ITD för installation</w:t>
            </w:r>
          </w:p>
        </w:tc>
        <w:tc>
          <w:tcPr>
            <w:tcW w:w="1418" w:type="dxa"/>
          </w:tcPr>
          <w:p w14:paraId="32DC8D2D" w14:textId="77777777" w:rsidR="009B1FAE" w:rsidRDefault="009B1FAE" w:rsidP="006849B6">
            <w:pPr>
              <w:rPr>
                <w:lang w:eastAsia="en-US"/>
              </w:rPr>
            </w:pPr>
            <w:r>
              <w:rPr>
                <w:lang w:eastAsia="en-US"/>
              </w:rPr>
              <w:t>Verksamhet</w:t>
            </w:r>
          </w:p>
        </w:tc>
        <w:tc>
          <w:tcPr>
            <w:tcW w:w="1271" w:type="dxa"/>
          </w:tcPr>
          <w:p w14:paraId="5220CBDE" w14:textId="77777777" w:rsidR="009B1FAE" w:rsidRDefault="009B1FAE" w:rsidP="006849B6">
            <w:pPr>
              <w:rPr>
                <w:lang w:eastAsia="en-US"/>
              </w:rPr>
            </w:pPr>
          </w:p>
        </w:tc>
      </w:tr>
      <w:tr w:rsidR="009B1FAE" w14:paraId="49A32FF5" w14:textId="77777777" w:rsidTr="006849B6">
        <w:tc>
          <w:tcPr>
            <w:tcW w:w="6374" w:type="dxa"/>
          </w:tcPr>
          <w:p w14:paraId="7951DD52" w14:textId="77777777" w:rsidR="009B1FAE" w:rsidRDefault="009B1FAE" w:rsidP="006849B6">
            <w:pPr>
              <w:rPr>
                <w:lang w:eastAsia="en-US"/>
              </w:rPr>
            </w:pPr>
            <w:r>
              <w:rPr>
                <w:lang w:eastAsia="en-US"/>
              </w:rPr>
              <w:t>Utse kontaktperson/er för införandet</w:t>
            </w:r>
          </w:p>
        </w:tc>
        <w:tc>
          <w:tcPr>
            <w:tcW w:w="1418" w:type="dxa"/>
          </w:tcPr>
          <w:p w14:paraId="54A49324" w14:textId="77777777" w:rsidR="009B1FAE" w:rsidRDefault="009B1FAE" w:rsidP="006849B6">
            <w:pPr>
              <w:rPr>
                <w:lang w:eastAsia="en-US"/>
              </w:rPr>
            </w:pPr>
            <w:r>
              <w:rPr>
                <w:lang w:eastAsia="en-US"/>
              </w:rPr>
              <w:t>Verksamhet</w:t>
            </w:r>
          </w:p>
        </w:tc>
        <w:tc>
          <w:tcPr>
            <w:tcW w:w="1271" w:type="dxa"/>
          </w:tcPr>
          <w:p w14:paraId="48ADABC3" w14:textId="77777777" w:rsidR="009B1FAE" w:rsidRDefault="009B1FAE" w:rsidP="006849B6">
            <w:pPr>
              <w:rPr>
                <w:lang w:eastAsia="en-US"/>
              </w:rPr>
            </w:pPr>
          </w:p>
        </w:tc>
      </w:tr>
      <w:tr w:rsidR="009B1FAE" w14:paraId="2BD98644" w14:textId="77777777" w:rsidTr="006849B6">
        <w:tc>
          <w:tcPr>
            <w:tcW w:w="6374" w:type="dxa"/>
          </w:tcPr>
          <w:p w14:paraId="147394DC" w14:textId="77777777" w:rsidR="009B1FAE" w:rsidRDefault="009B1FAE" w:rsidP="006849B6">
            <w:pPr>
              <w:rPr>
                <w:lang w:eastAsia="en-US"/>
              </w:rPr>
            </w:pPr>
            <w:r>
              <w:rPr>
                <w:lang w:eastAsia="en-US"/>
              </w:rPr>
              <w:t>Påbörja dialog med RK ITD kring former för införandet via ärende i SD+</w:t>
            </w:r>
          </w:p>
        </w:tc>
        <w:tc>
          <w:tcPr>
            <w:tcW w:w="1418" w:type="dxa"/>
          </w:tcPr>
          <w:p w14:paraId="31228102" w14:textId="77777777" w:rsidR="009B1FAE" w:rsidRDefault="009B1FAE" w:rsidP="006849B6">
            <w:pPr>
              <w:rPr>
                <w:lang w:eastAsia="en-US"/>
              </w:rPr>
            </w:pPr>
            <w:r>
              <w:rPr>
                <w:lang w:eastAsia="en-US"/>
              </w:rPr>
              <w:t>Verksamhet</w:t>
            </w:r>
          </w:p>
        </w:tc>
        <w:tc>
          <w:tcPr>
            <w:tcW w:w="1271" w:type="dxa"/>
          </w:tcPr>
          <w:p w14:paraId="13BBEF57" w14:textId="77777777" w:rsidR="009B1FAE" w:rsidRDefault="009B1FAE" w:rsidP="006849B6">
            <w:pPr>
              <w:rPr>
                <w:lang w:eastAsia="en-US"/>
              </w:rPr>
            </w:pPr>
          </w:p>
        </w:tc>
      </w:tr>
      <w:tr w:rsidR="009B1FAE" w14:paraId="16BD2D82" w14:textId="77777777" w:rsidTr="006849B6">
        <w:tc>
          <w:tcPr>
            <w:tcW w:w="6374" w:type="dxa"/>
          </w:tcPr>
          <w:p w14:paraId="5300B83E" w14:textId="77777777" w:rsidR="009B1FAE" w:rsidRDefault="009B1FAE" w:rsidP="006849B6">
            <w:pPr>
              <w:rPr>
                <w:lang w:eastAsia="en-US"/>
              </w:rPr>
            </w:pPr>
            <w:r>
              <w:rPr>
                <w:lang w:eastAsia="en-US"/>
              </w:rPr>
              <w:t>Påbörja den planering som krävs utifrån formen för införandet i dialog med RK ITD</w:t>
            </w:r>
          </w:p>
        </w:tc>
        <w:tc>
          <w:tcPr>
            <w:tcW w:w="1418" w:type="dxa"/>
          </w:tcPr>
          <w:p w14:paraId="5DA8FEAF" w14:textId="77777777" w:rsidR="009B1FAE" w:rsidRDefault="009B1FAE" w:rsidP="006849B6">
            <w:pPr>
              <w:rPr>
                <w:lang w:eastAsia="en-US"/>
              </w:rPr>
            </w:pPr>
            <w:r>
              <w:rPr>
                <w:lang w:eastAsia="en-US"/>
              </w:rPr>
              <w:t>Verksamhet</w:t>
            </w:r>
          </w:p>
        </w:tc>
        <w:tc>
          <w:tcPr>
            <w:tcW w:w="1271" w:type="dxa"/>
          </w:tcPr>
          <w:p w14:paraId="373F6973" w14:textId="77777777" w:rsidR="009B1FAE" w:rsidRDefault="009B1FAE" w:rsidP="006849B6">
            <w:pPr>
              <w:rPr>
                <w:lang w:eastAsia="en-US"/>
              </w:rPr>
            </w:pPr>
          </w:p>
        </w:tc>
      </w:tr>
      <w:tr w:rsidR="009B1FAE" w14:paraId="3E3941DC" w14:textId="77777777" w:rsidTr="006849B6">
        <w:tc>
          <w:tcPr>
            <w:tcW w:w="6374" w:type="dxa"/>
          </w:tcPr>
          <w:p w14:paraId="728787B3" w14:textId="77777777" w:rsidR="009B1FAE" w:rsidRDefault="009B1FAE" w:rsidP="006849B6">
            <w:pPr>
              <w:rPr>
                <w:lang w:eastAsia="en-US"/>
              </w:rPr>
            </w:pPr>
            <w:r>
              <w:rPr>
                <w:lang w:eastAsia="en-US"/>
              </w:rPr>
              <w:t>Upplägg av licenser och installation av programvara på datorer</w:t>
            </w:r>
          </w:p>
        </w:tc>
        <w:tc>
          <w:tcPr>
            <w:tcW w:w="1418" w:type="dxa"/>
          </w:tcPr>
          <w:p w14:paraId="546DD610" w14:textId="77777777" w:rsidR="009B1FAE" w:rsidRDefault="009B1FAE" w:rsidP="006849B6">
            <w:pPr>
              <w:rPr>
                <w:lang w:eastAsia="en-US"/>
              </w:rPr>
            </w:pPr>
            <w:r>
              <w:rPr>
                <w:lang w:eastAsia="en-US"/>
              </w:rPr>
              <w:t>RK ITD</w:t>
            </w:r>
          </w:p>
        </w:tc>
        <w:tc>
          <w:tcPr>
            <w:tcW w:w="1271" w:type="dxa"/>
          </w:tcPr>
          <w:p w14:paraId="14B9FD5B" w14:textId="77777777" w:rsidR="009B1FAE" w:rsidRDefault="009B1FAE" w:rsidP="006849B6">
            <w:pPr>
              <w:rPr>
                <w:lang w:eastAsia="en-US"/>
              </w:rPr>
            </w:pPr>
          </w:p>
        </w:tc>
      </w:tr>
    </w:tbl>
    <w:p w14:paraId="35A0586F" w14:textId="52521509" w:rsidR="009B1FAE" w:rsidRDefault="009B1FAE" w:rsidP="009B1FAE">
      <w:r w:rsidRPr="00DB7CF9">
        <w:rPr>
          <w:b/>
          <w:bCs/>
        </w:rPr>
        <w:t>Uppstartsmöte</w:t>
      </w:r>
    </w:p>
    <w:tbl>
      <w:tblPr>
        <w:tblStyle w:val="Tabellrutnt"/>
        <w:tblW w:w="0" w:type="auto"/>
        <w:tblLook w:val="04A0" w:firstRow="1" w:lastRow="0" w:firstColumn="1" w:lastColumn="0" w:noHBand="0" w:noVBand="1"/>
      </w:tblPr>
      <w:tblGrid>
        <w:gridCol w:w="5305"/>
        <w:gridCol w:w="2809"/>
        <w:gridCol w:w="946"/>
      </w:tblGrid>
      <w:tr w:rsidR="009B1FAE" w14:paraId="3F847D16" w14:textId="77777777" w:rsidTr="00372102">
        <w:tc>
          <w:tcPr>
            <w:tcW w:w="5305" w:type="dxa"/>
          </w:tcPr>
          <w:p w14:paraId="636D670D" w14:textId="77777777" w:rsidR="009B1FAE" w:rsidRDefault="009B1FAE" w:rsidP="006849B6">
            <w:r>
              <w:t>Besluta om start- och stoppdatum för införandet</w:t>
            </w:r>
          </w:p>
        </w:tc>
        <w:tc>
          <w:tcPr>
            <w:tcW w:w="2809" w:type="dxa"/>
          </w:tcPr>
          <w:p w14:paraId="7717378F" w14:textId="77777777" w:rsidR="009B1FAE" w:rsidRDefault="009B1FAE" w:rsidP="006849B6">
            <w:r>
              <w:t>Gemensamt</w:t>
            </w:r>
          </w:p>
        </w:tc>
        <w:tc>
          <w:tcPr>
            <w:tcW w:w="946" w:type="dxa"/>
          </w:tcPr>
          <w:p w14:paraId="50BB60FC" w14:textId="77777777" w:rsidR="009B1FAE" w:rsidRDefault="009B1FAE" w:rsidP="006849B6"/>
        </w:tc>
      </w:tr>
      <w:tr w:rsidR="009B1FAE" w14:paraId="554E240C" w14:textId="77777777" w:rsidTr="00372102">
        <w:tc>
          <w:tcPr>
            <w:tcW w:w="5305" w:type="dxa"/>
          </w:tcPr>
          <w:p w14:paraId="58BF9127" w14:textId="5F3245D4" w:rsidR="009B1FAE" w:rsidRDefault="009B1FAE" w:rsidP="006849B6">
            <w:r>
              <w:t>Planera/schemalägg/fastställ eventuell demo/visning av taligenkänning innan utbildningsinsatsen</w:t>
            </w:r>
            <w:r w:rsidR="003B6919">
              <w:t xml:space="preserve"> </w:t>
            </w:r>
            <w:r w:rsidR="003B6919" w:rsidRPr="00372102">
              <w:t xml:space="preserve">(film </w:t>
            </w:r>
            <w:r w:rsidR="00400FDC" w:rsidRPr="00372102">
              <w:t xml:space="preserve">finns </w:t>
            </w:r>
            <w:r w:rsidR="003B6919" w:rsidRPr="00372102">
              <w:t>på Vårdgivarwebben)</w:t>
            </w:r>
          </w:p>
        </w:tc>
        <w:tc>
          <w:tcPr>
            <w:tcW w:w="2809" w:type="dxa"/>
          </w:tcPr>
          <w:p w14:paraId="48306F0B" w14:textId="2BF764D6" w:rsidR="009B1FAE" w:rsidRDefault="00DF7FEC" w:rsidP="006849B6">
            <w:r>
              <w:t>Verksamheten/</w:t>
            </w:r>
            <w:r w:rsidR="009B1FAE">
              <w:t>Gemensamt</w:t>
            </w:r>
          </w:p>
        </w:tc>
        <w:tc>
          <w:tcPr>
            <w:tcW w:w="946" w:type="dxa"/>
          </w:tcPr>
          <w:p w14:paraId="0520C5BA" w14:textId="77777777" w:rsidR="009B1FAE" w:rsidRDefault="009B1FAE" w:rsidP="006849B6"/>
        </w:tc>
      </w:tr>
      <w:tr w:rsidR="009B1FAE" w14:paraId="5D20907E" w14:textId="77777777" w:rsidTr="00372102">
        <w:tc>
          <w:tcPr>
            <w:tcW w:w="5305" w:type="dxa"/>
          </w:tcPr>
          <w:p w14:paraId="31C9B208" w14:textId="77777777" w:rsidR="009B1FAE" w:rsidRDefault="009B1FAE" w:rsidP="006849B6">
            <w:r>
              <w:t>Fastställ utbildning till slutanvändare</w:t>
            </w:r>
          </w:p>
        </w:tc>
        <w:tc>
          <w:tcPr>
            <w:tcW w:w="2809" w:type="dxa"/>
          </w:tcPr>
          <w:p w14:paraId="21BFB64C" w14:textId="77777777" w:rsidR="009B1FAE" w:rsidRDefault="009B1FAE" w:rsidP="006849B6">
            <w:r>
              <w:t>Verksamhet</w:t>
            </w:r>
          </w:p>
        </w:tc>
        <w:tc>
          <w:tcPr>
            <w:tcW w:w="946" w:type="dxa"/>
          </w:tcPr>
          <w:p w14:paraId="52C14FD5" w14:textId="77777777" w:rsidR="009B1FAE" w:rsidRDefault="009B1FAE" w:rsidP="006849B6"/>
        </w:tc>
      </w:tr>
      <w:tr w:rsidR="009B1FAE" w14:paraId="7EC58FF8" w14:textId="77777777" w:rsidTr="00372102">
        <w:tc>
          <w:tcPr>
            <w:tcW w:w="5305" w:type="dxa"/>
          </w:tcPr>
          <w:p w14:paraId="4554241D" w14:textId="77777777" w:rsidR="009B1FAE" w:rsidRDefault="009B1FAE" w:rsidP="006849B6">
            <w:r>
              <w:t>Besluta om när uppföljning ska genomföras med slutanvändare och på vilket sätt.</w:t>
            </w:r>
          </w:p>
        </w:tc>
        <w:tc>
          <w:tcPr>
            <w:tcW w:w="2809" w:type="dxa"/>
          </w:tcPr>
          <w:p w14:paraId="47FA4D6B" w14:textId="77777777" w:rsidR="009B1FAE" w:rsidRDefault="009B1FAE" w:rsidP="006849B6">
            <w:r>
              <w:t>Verksamhet</w:t>
            </w:r>
          </w:p>
        </w:tc>
        <w:tc>
          <w:tcPr>
            <w:tcW w:w="946" w:type="dxa"/>
          </w:tcPr>
          <w:p w14:paraId="6878D663" w14:textId="77777777" w:rsidR="009B1FAE" w:rsidRDefault="009B1FAE" w:rsidP="006849B6"/>
        </w:tc>
      </w:tr>
      <w:tr w:rsidR="009B1FAE" w14:paraId="2A8029CB" w14:textId="77777777" w:rsidTr="00372102">
        <w:tc>
          <w:tcPr>
            <w:tcW w:w="5305" w:type="dxa"/>
          </w:tcPr>
          <w:p w14:paraId="7C310E88" w14:textId="77777777" w:rsidR="009B1FAE" w:rsidRDefault="009B1FAE" w:rsidP="006849B6">
            <w:r>
              <w:t>Planera uppföljande möten med representanter inom införandet</w:t>
            </w:r>
          </w:p>
        </w:tc>
        <w:tc>
          <w:tcPr>
            <w:tcW w:w="2809" w:type="dxa"/>
          </w:tcPr>
          <w:p w14:paraId="010777EA" w14:textId="77777777" w:rsidR="009B1FAE" w:rsidRDefault="009B1FAE" w:rsidP="006849B6">
            <w:r>
              <w:t>Gemensamt</w:t>
            </w:r>
          </w:p>
        </w:tc>
        <w:tc>
          <w:tcPr>
            <w:tcW w:w="946" w:type="dxa"/>
          </w:tcPr>
          <w:p w14:paraId="168FECE7" w14:textId="77777777" w:rsidR="009B1FAE" w:rsidRDefault="009B1FAE" w:rsidP="006849B6"/>
        </w:tc>
      </w:tr>
      <w:tr w:rsidR="009B1FAE" w14:paraId="39C3D13E" w14:textId="77777777" w:rsidTr="00372102">
        <w:tc>
          <w:tcPr>
            <w:tcW w:w="5305" w:type="dxa"/>
          </w:tcPr>
          <w:p w14:paraId="11D027DA" w14:textId="7E035DE5" w:rsidR="009B1FAE" w:rsidRDefault="009B1FAE" w:rsidP="006849B6">
            <w:r>
              <w:t>Planera för uppföljning i form av rapporter och andra mätbara värden</w:t>
            </w:r>
          </w:p>
        </w:tc>
        <w:tc>
          <w:tcPr>
            <w:tcW w:w="2809" w:type="dxa"/>
          </w:tcPr>
          <w:p w14:paraId="7995A2E2" w14:textId="77777777" w:rsidR="009B1FAE" w:rsidRDefault="009B1FAE" w:rsidP="006849B6">
            <w:r>
              <w:t>Verksamhet</w:t>
            </w:r>
          </w:p>
        </w:tc>
        <w:tc>
          <w:tcPr>
            <w:tcW w:w="946" w:type="dxa"/>
          </w:tcPr>
          <w:p w14:paraId="7C96A1A2" w14:textId="77777777" w:rsidR="009B1FAE" w:rsidRDefault="009B1FAE" w:rsidP="006849B6"/>
        </w:tc>
      </w:tr>
      <w:tr w:rsidR="009B1FAE" w14:paraId="77A96145" w14:textId="77777777" w:rsidTr="00372102">
        <w:tc>
          <w:tcPr>
            <w:tcW w:w="5305" w:type="dxa"/>
          </w:tcPr>
          <w:p w14:paraId="283F0813" w14:textId="51794E53" w:rsidR="009B1FAE" w:rsidRDefault="009B1FAE" w:rsidP="006849B6">
            <w:r>
              <w:t>Besluta om användarstöd inom införandet</w:t>
            </w:r>
            <w:r w:rsidR="00AF62B6">
              <w:t xml:space="preserve"> </w:t>
            </w:r>
            <w:r w:rsidR="000F310F" w:rsidRPr="00372102">
              <w:t>(</w:t>
            </w:r>
            <w:r w:rsidR="00E73694" w:rsidRPr="00372102">
              <w:t xml:space="preserve">via </w:t>
            </w:r>
            <w:r w:rsidR="000F310F" w:rsidRPr="00372102">
              <w:t xml:space="preserve">erbjudande </w:t>
            </w:r>
            <w:r w:rsidR="00E73694" w:rsidRPr="00372102">
              <w:t>av</w:t>
            </w:r>
            <w:r w:rsidR="007A6373" w:rsidRPr="00372102">
              <w:t xml:space="preserve"> leverantör</w:t>
            </w:r>
            <w:r w:rsidR="00E73694" w:rsidRPr="00372102">
              <w:t>)</w:t>
            </w:r>
          </w:p>
        </w:tc>
        <w:tc>
          <w:tcPr>
            <w:tcW w:w="2809" w:type="dxa"/>
          </w:tcPr>
          <w:p w14:paraId="15257E7F" w14:textId="77777777" w:rsidR="009B1FAE" w:rsidRDefault="009B1FAE" w:rsidP="006849B6">
            <w:r>
              <w:t>Verksamhet</w:t>
            </w:r>
          </w:p>
        </w:tc>
        <w:tc>
          <w:tcPr>
            <w:tcW w:w="946" w:type="dxa"/>
          </w:tcPr>
          <w:p w14:paraId="5A728D73" w14:textId="77777777" w:rsidR="009B1FAE" w:rsidRDefault="009B1FAE" w:rsidP="006849B6"/>
        </w:tc>
      </w:tr>
      <w:tr w:rsidR="009B1FAE" w14:paraId="43A6F476" w14:textId="77777777" w:rsidTr="00372102">
        <w:tc>
          <w:tcPr>
            <w:tcW w:w="5305" w:type="dxa"/>
          </w:tcPr>
          <w:p w14:paraId="380594DE" w14:textId="4775EC0A" w:rsidR="009B1FAE" w:rsidRDefault="009B1FAE" w:rsidP="006849B6">
            <w:r>
              <w:t>Identifiera eventuella unika arbetssätt eller behov som kräver förberedande arbete i Dragon Medical One</w:t>
            </w:r>
            <w:r w:rsidR="00B82851">
              <w:t xml:space="preserve"> </w:t>
            </w:r>
            <w:r w:rsidR="00B82851" w:rsidRPr="00372102">
              <w:t xml:space="preserve">(ex. sökord som inte finns inlagda i förteckningen steg-för-steg-kommando </w:t>
            </w:r>
            <w:r w:rsidR="0094227F" w:rsidRPr="00372102">
              <w:t>på Vårdgivarwebben)</w:t>
            </w:r>
          </w:p>
        </w:tc>
        <w:tc>
          <w:tcPr>
            <w:tcW w:w="2809" w:type="dxa"/>
          </w:tcPr>
          <w:p w14:paraId="492CEBC7" w14:textId="77777777" w:rsidR="009B1FAE" w:rsidRDefault="009B1FAE" w:rsidP="006849B6">
            <w:r>
              <w:t>Verksamhet</w:t>
            </w:r>
          </w:p>
        </w:tc>
        <w:tc>
          <w:tcPr>
            <w:tcW w:w="946" w:type="dxa"/>
          </w:tcPr>
          <w:p w14:paraId="5B5E170B" w14:textId="77777777" w:rsidR="009B1FAE" w:rsidRDefault="009B1FAE" w:rsidP="006849B6"/>
        </w:tc>
      </w:tr>
    </w:tbl>
    <w:p w14:paraId="41E18104" w14:textId="74B5E5B3" w:rsidR="009B1FAE" w:rsidRDefault="009B1FAE" w:rsidP="009B1FAE">
      <w:pPr>
        <w:rPr>
          <w:b/>
          <w:bCs/>
        </w:rPr>
      </w:pPr>
      <w:r w:rsidRPr="000616EC">
        <w:rPr>
          <w:b/>
          <w:bCs/>
        </w:rPr>
        <w:t>Utbildning</w:t>
      </w:r>
    </w:p>
    <w:tbl>
      <w:tblPr>
        <w:tblStyle w:val="Tabellrutnt"/>
        <w:tblW w:w="0" w:type="auto"/>
        <w:tblLook w:val="04A0" w:firstRow="1" w:lastRow="0" w:firstColumn="1" w:lastColumn="0" w:noHBand="0" w:noVBand="1"/>
      </w:tblPr>
      <w:tblGrid>
        <w:gridCol w:w="6374"/>
        <w:gridCol w:w="1418"/>
        <w:gridCol w:w="1268"/>
      </w:tblGrid>
      <w:tr w:rsidR="009B1FAE" w14:paraId="58F040EA" w14:textId="77777777" w:rsidTr="006849B6">
        <w:tc>
          <w:tcPr>
            <w:tcW w:w="6374" w:type="dxa"/>
          </w:tcPr>
          <w:p w14:paraId="031F4C2D" w14:textId="77777777" w:rsidR="009B1FAE" w:rsidRDefault="009B1FAE" w:rsidP="006849B6">
            <w:r>
              <w:t>Avsätt tid för användarnas utbildning</w:t>
            </w:r>
          </w:p>
        </w:tc>
        <w:tc>
          <w:tcPr>
            <w:tcW w:w="1418" w:type="dxa"/>
          </w:tcPr>
          <w:p w14:paraId="62BA0607" w14:textId="77777777" w:rsidR="009B1FAE" w:rsidRDefault="009B1FAE" w:rsidP="006849B6">
            <w:r>
              <w:t>Verksamhet</w:t>
            </w:r>
          </w:p>
        </w:tc>
        <w:tc>
          <w:tcPr>
            <w:tcW w:w="1268" w:type="dxa"/>
          </w:tcPr>
          <w:p w14:paraId="158636C8" w14:textId="77777777" w:rsidR="009B1FAE" w:rsidRDefault="009B1FAE" w:rsidP="006849B6"/>
        </w:tc>
      </w:tr>
      <w:tr w:rsidR="009B1FAE" w14:paraId="404D0812" w14:textId="77777777" w:rsidTr="006849B6">
        <w:tc>
          <w:tcPr>
            <w:tcW w:w="6374" w:type="dxa"/>
          </w:tcPr>
          <w:p w14:paraId="13F73BEF" w14:textId="77777777" w:rsidR="009B1FAE" w:rsidRDefault="009B1FAE" w:rsidP="006849B6">
            <w:r>
              <w:t>Besluta om hur användare som missar utbildningsperioden ska omhändertas</w:t>
            </w:r>
          </w:p>
        </w:tc>
        <w:tc>
          <w:tcPr>
            <w:tcW w:w="1418" w:type="dxa"/>
          </w:tcPr>
          <w:p w14:paraId="0EC2FB05" w14:textId="77777777" w:rsidR="009B1FAE" w:rsidRDefault="009B1FAE" w:rsidP="006849B6">
            <w:r>
              <w:t>Gemensamt</w:t>
            </w:r>
          </w:p>
        </w:tc>
        <w:tc>
          <w:tcPr>
            <w:tcW w:w="1268" w:type="dxa"/>
          </w:tcPr>
          <w:p w14:paraId="6924B552" w14:textId="77777777" w:rsidR="009B1FAE" w:rsidRDefault="009B1FAE" w:rsidP="006849B6"/>
        </w:tc>
      </w:tr>
      <w:tr w:rsidR="009B1FAE" w14:paraId="4AE5AAAD" w14:textId="77777777" w:rsidTr="006849B6">
        <w:tc>
          <w:tcPr>
            <w:tcW w:w="6374" w:type="dxa"/>
          </w:tcPr>
          <w:p w14:paraId="663B68FD" w14:textId="77777777" w:rsidR="009B1FAE" w:rsidRDefault="009B1FAE" w:rsidP="006849B6">
            <w:r>
              <w:t>Utbildningsinsats beroende på tidigare beslut</w:t>
            </w:r>
          </w:p>
        </w:tc>
        <w:tc>
          <w:tcPr>
            <w:tcW w:w="1418" w:type="dxa"/>
          </w:tcPr>
          <w:p w14:paraId="10379292" w14:textId="77777777" w:rsidR="009B1FAE" w:rsidRDefault="009B1FAE" w:rsidP="006849B6">
            <w:r>
              <w:t>RK ITD</w:t>
            </w:r>
          </w:p>
        </w:tc>
        <w:tc>
          <w:tcPr>
            <w:tcW w:w="1268" w:type="dxa"/>
          </w:tcPr>
          <w:p w14:paraId="3EFEAAA7" w14:textId="77777777" w:rsidR="009B1FAE" w:rsidRDefault="009B1FAE" w:rsidP="006849B6"/>
        </w:tc>
      </w:tr>
      <w:tr w:rsidR="009B1FAE" w14:paraId="3DEBFC0D" w14:textId="77777777" w:rsidTr="006849B6">
        <w:tc>
          <w:tcPr>
            <w:tcW w:w="6374" w:type="dxa"/>
          </w:tcPr>
          <w:p w14:paraId="67D178CD" w14:textId="77777777" w:rsidR="009B1FAE" w:rsidRDefault="009B1FAE" w:rsidP="006849B6">
            <w:r>
              <w:t>Användarstöd beroende på tidigare beslut</w:t>
            </w:r>
          </w:p>
        </w:tc>
        <w:tc>
          <w:tcPr>
            <w:tcW w:w="1418" w:type="dxa"/>
          </w:tcPr>
          <w:p w14:paraId="6A143506" w14:textId="77777777" w:rsidR="009B1FAE" w:rsidRDefault="009B1FAE" w:rsidP="006849B6">
            <w:r>
              <w:t>RK ITD</w:t>
            </w:r>
          </w:p>
        </w:tc>
        <w:tc>
          <w:tcPr>
            <w:tcW w:w="1268" w:type="dxa"/>
          </w:tcPr>
          <w:p w14:paraId="24431E3E" w14:textId="77777777" w:rsidR="009B1FAE" w:rsidRDefault="009B1FAE" w:rsidP="006849B6"/>
        </w:tc>
      </w:tr>
      <w:tr w:rsidR="009B1FAE" w14:paraId="66538038" w14:textId="77777777" w:rsidTr="006849B6">
        <w:tc>
          <w:tcPr>
            <w:tcW w:w="6374" w:type="dxa"/>
          </w:tcPr>
          <w:p w14:paraId="21315C29" w14:textId="77777777" w:rsidR="009B1FAE" w:rsidRDefault="009B1FAE" w:rsidP="006849B6">
            <w:r>
              <w:t>Planera in uppföljning med slutanvändarna beroende på tidigare beslut</w:t>
            </w:r>
          </w:p>
        </w:tc>
        <w:tc>
          <w:tcPr>
            <w:tcW w:w="1418" w:type="dxa"/>
          </w:tcPr>
          <w:p w14:paraId="7DA957C6" w14:textId="77777777" w:rsidR="009B1FAE" w:rsidRDefault="009B1FAE" w:rsidP="006849B6">
            <w:r>
              <w:t>RK ITD</w:t>
            </w:r>
          </w:p>
        </w:tc>
        <w:tc>
          <w:tcPr>
            <w:tcW w:w="1268" w:type="dxa"/>
          </w:tcPr>
          <w:p w14:paraId="649940B0" w14:textId="77777777" w:rsidR="009B1FAE" w:rsidRDefault="009B1FAE" w:rsidP="006849B6"/>
        </w:tc>
      </w:tr>
    </w:tbl>
    <w:p w14:paraId="2C6ACDD8" w14:textId="77777777" w:rsidR="009B1FAE" w:rsidRDefault="009B1FAE" w:rsidP="009B1FAE">
      <w:pPr>
        <w:rPr>
          <w:b/>
          <w:bCs/>
        </w:rPr>
      </w:pPr>
      <w:r w:rsidRPr="00635F4F">
        <w:rPr>
          <w:b/>
          <w:bCs/>
        </w:rPr>
        <w:t>Införande</w:t>
      </w:r>
    </w:p>
    <w:tbl>
      <w:tblPr>
        <w:tblStyle w:val="Tabellrutnt"/>
        <w:tblW w:w="0" w:type="auto"/>
        <w:tblLook w:val="04A0" w:firstRow="1" w:lastRow="0" w:firstColumn="1" w:lastColumn="0" w:noHBand="0" w:noVBand="1"/>
      </w:tblPr>
      <w:tblGrid>
        <w:gridCol w:w="6374"/>
        <w:gridCol w:w="1418"/>
        <w:gridCol w:w="1268"/>
      </w:tblGrid>
      <w:tr w:rsidR="009B1FAE" w14:paraId="04AE5031" w14:textId="77777777" w:rsidTr="006849B6">
        <w:tc>
          <w:tcPr>
            <w:tcW w:w="6374" w:type="dxa"/>
          </w:tcPr>
          <w:p w14:paraId="1867A7B8" w14:textId="77777777" w:rsidR="009B1FAE" w:rsidRDefault="009B1FAE" w:rsidP="006849B6">
            <w:r>
              <w:t>Plocka ut uppföljningsrapporter enligt tidigare beslut</w:t>
            </w:r>
          </w:p>
        </w:tc>
        <w:tc>
          <w:tcPr>
            <w:tcW w:w="1418" w:type="dxa"/>
          </w:tcPr>
          <w:p w14:paraId="5B9A05EC" w14:textId="77777777" w:rsidR="009B1FAE" w:rsidRDefault="009B1FAE" w:rsidP="006849B6">
            <w:r>
              <w:t>RK ITD</w:t>
            </w:r>
          </w:p>
        </w:tc>
        <w:tc>
          <w:tcPr>
            <w:tcW w:w="1268" w:type="dxa"/>
          </w:tcPr>
          <w:p w14:paraId="3EE224E6" w14:textId="77777777" w:rsidR="009B1FAE" w:rsidRDefault="009B1FAE" w:rsidP="006849B6"/>
        </w:tc>
      </w:tr>
      <w:tr w:rsidR="009B1FAE" w14:paraId="20D2A3CE" w14:textId="77777777" w:rsidTr="006849B6">
        <w:tc>
          <w:tcPr>
            <w:tcW w:w="6374" w:type="dxa"/>
          </w:tcPr>
          <w:p w14:paraId="2E4729F7" w14:textId="77777777" w:rsidR="009B1FAE" w:rsidRDefault="009B1FAE" w:rsidP="006849B6">
            <w:r>
              <w:lastRenderedPageBreak/>
              <w:t>Fortsatt användarstöd utifrån tidigare beslut</w:t>
            </w:r>
          </w:p>
        </w:tc>
        <w:tc>
          <w:tcPr>
            <w:tcW w:w="1418" w:type="dxa"/>
          </w:tcPr>
          <w:p w14:paraId="7B21AB1D" w14:textId="77777777" w:rsidR="009B1FAE" w:rsidRDefault="009B1FAE" w:rsidP="006849B6">
            <w:r>
              <w:t>RK ITD</w:t>
            </w:r>
          </w:p>
        </w:tc>
        <w:tc>
          <w:tcPr>
            <w:tcW w:w="1268" w:type="dxa"/>
          </w:tcPr>
          <w:p w14:paraId="55AE7530" w14:textId="77777777" w:rsidR="009B1FAE" w:rsidRDefault="009B1FAE" w:rsidP="006849B6"/>
        </w:tc>
      </w:tr>
      <w:tr w:rsidR="009B1FAE" w14:paraId="18518F88" w14:textId="77777777" w:rsidTr="006849B6">
        <w:tc>
          <w:tcPr>
            <w:tcW w:w="6374" w:type="dxa"/>
          </w:tcPr>
          <w:p w14:paraId="4BE2E8DB" w14:textId="77777777" w:rsidR="009B1FAE" w:rsidRDefault="009B1FAE" w:rsidP="006849B6">
            <w:r>
              <w:t>Tydlig brytpunkt för införandets avslut och övergång till regional förvaltning</w:t>
            </w:r>
          </w:p>
        </w:tc>
        <w:tc>
          <w:tcPr>
            <w:tcW w:w="1418" w:type="dxa"/>
          </w:tcPr>
          <w:p w14:paraId="5B0BFD49" w14:textId="77777777" w:rsidR="009B1FAE" w:rsidRDefault="009B1FAE" w:rsidP="006849B6">
            <w:r>
              <w:t>Gemensamt</w:t>
            </w:r>
          </w:p>
        </w:tc>
        <w:tc>
          <w:tcPr>
            <w:tcW w:w="1268" w:type="dxa"/>
          </w:tcPr>
          <w:p w14:paraId="7600D0A7" w14:textId="77777777" w:rsidR="009B1FAE" w:rsidRDefault="009B1FAE" w:rsidP="006849B6"/>
        </w:tc>
      </w:tr>
      <w:bookmarkEnd w:id="13"/>
    </w:tbl>
    <w:p w14:paraId="2C126D63" w14:textId="77777777" w:rsidR="00986E04" w:rsidRDefault="00986E04" w:rsidP="00986E04"/>
    <w:p w14:paraId="59FB3A1E" w14:textId="77777777" w:rsidR="00986E04" w:rsidRPr="005B17E9" w:rsidRDefault="00986E04" w:rsidP="00986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986E04" w:rsidRPr="006C4A08" w14:paraId="6E60BC8D" w14:textId="77777777" w:rsidTr="001E4073">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5F171DC" w14:textId="77777777" w:rsidR="00986E04" w:rsidRPr="00903BFD" w:rsidRDefault="00986E04" w:rsidP="001E4073">
            <w:pPr>
              <w:pStyle w:val="Rubrik1"/>
            </w:pPr>
            <w:bookmarkStart w:id="18" w:name="_Toc338760458"/>
            <w:bookmarkStart w:id="19" w:name="_Toc338760522"/>
            <w:bookmarkStart w:id="20" w:name="_Toc338760588"/>
            <w:bookmarkStart w:id="21" w:name="_Toc338760604"/>
            <w:bookmarkStart w:id="22" w:name="_Toc113952673"/>
            <w:r w:rsidRPr="00903BFD">
              <w:t>Uppdaterat från föregående version</w:t>
            </w:r>
            <w:bookmarkEnd w:id="18"/>
            <w:bookmarkEnd w:id="19"/>
            <w:bookmarkEnd w:id="20"/>
            <w:bookmarkEnd w:id="21"/>
            <w:bookmarkEnd w:id="22"/>
          </w:p>
          <w:p w14:paraId="6AA9BA0B" w14:textId="77777777" w:rsidR="00986E04" w:rsidRPr="00903BFD" w:rsidRDefault="00986E04" w:rsidP="001E4073"/>
          <w:p w14:paraId="353683C6" w14:textId="77777777" w:rsidR="00986E04" w:rsidRDefault="00530583" w:rsidP="001E4073">
            <w:r>
              <w:t xml:space="preserve">Skapad och publicerad </w:t>
            </w:r>
            <w:r w:rsidR="002B7C8B">
              <w:t>september 2022</w:t>
            </w:r>
          </w:p>
          <w:p w14:paraId="0C532FE3" w14:textId="32289F77" w:rsidR="00150C9A" w:rsidRPr="005B17E9" w:rsidRDefault="00150C9A" w:rsidP="001E4073">
            <w:r w:rsidRPr="00B61C8C">
              <w:t>Justerad</w:t>
            </w:r>
            <w:r w:rsidR="002A6B27" w:rsidRPr="00B61C8C">
              <w:t xml:space="preserve"> och förtydligad</w:t>
            </w:r>
            <w:r w:rsidRPr="00B61C8C">
              <w:t xml:space="preserve"> </w:t>
            </w:r>
            <w:r w:rsidR="002A6B27" w:rsidRPr="00B61C8C">
              <w:t>april 2023</w:t>
            </w:r>
          </w:p>
        </w:tc>
      </w:tr>
    </w:tbl>
    <w:p w14:paraId="102E6A0E" w14:textId="77777777" w:rsidR="0090549C" w:rsidRPr="00D325CC" w:rsidRDefault="0090549C" w:rsidP="00D325CC"/>
    <w:sectPr w:rsidR="0090549C" w:rsidRPr="00D325CC" w:rsidSect="00D72DA0">
      <w:headerReference w:type="default" r:id="rId16"/>
      <w:footerReference w:type="default" r:id="rId17"/>
      <w:type w:val="continuous"/>
      <w:pgSz w:w="11906" w:h="16838" w:code="9"/>
      <w:pgMar w:top="1418" w:right="1418" w:bottom="1418"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18B8" w14:textId="77777777" w:rsidR="009B425D" w:rsidRDefault="009B425D" w:rsidP="00332D94">
      <w:r>
        <w:separator/>
      </w:r>
    </w:p>
  </w:endnote>
  <w:endnote w:type="continuationSeparator" w:id="0">
    <w:p w14:paraId="4522D276" w14:textId="77777777" w:rsidR="009B425D" w:rsidRDefault="009B425D"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5C61" w14:textId="4512754F" w:rsidR="00986E04" w:rsidRDefault="00FC2EC9">
    <w:pPr>
      <w:pStyle w:val="Sidfot"/>
    </w:pPr>
    <w:r>
      <w:t>Huvudförfattare: Viktor Carlefred</w:t>
    </w:r>
    <w:r w:rsidR="00810BD4">
      <w:t xml:space="preserve"> RK</w:t>
    </w:r>
  </w:p>
  <w:p w14:paraId="702B32A9" w14:textId="6972231D" w:rsidR="00810BD4" w:rsidRDefault="00810BD4">
    <w:pPr>
      <w:pStyle w:val="Sidfot"/>
    </w:pPr>
    <w:r>
      <w:t xml:space="preserve">Datum: </w:t>
    </w:r>
    <w:r w:rsidR="00530583">
      <w:t>2022-09-20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C89A" w14:textId="77777777" w:rsidR="00C1153C" w:rsidRDefault="00C1153C" w:rsidP="00C1153C">
    <w:pPr>
      <w:pStyle w:val="Sidfot"/>
    </w:pPr>
    <w:r>
      <w:t>Huvudförfattare: Viktor Carlefred RK</w:t>
    </w:r>
  </w:p>
  <w:p w14:paraId="78626155" w14:textId="6D7BD98E" w:rsidR="0090549C" w:rsidRDefault="00C1153C">
    <w:pPr>
      <w:pStyle w:val="Sidfot"/>
    </w:pPr>
    <w:r>
      <w:t>Datum: 2022-09-20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6200" w14:textId="77777777" w:rsidR="009B425D" w:rsidRDefault="009B425D" w:rsidP="00332D94">
      <w:r>
        <w:separator/>
      </w:r>
    </w:p>
  </w:footnote>
  <w:footnote w:type="continuationSeparator" w:id="0">
    <w:p w14:paraId="08E40CCA" w14:textId="77777777" w:rsidR="009B425D" w:rsidRDefault="009B425D"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06F0" w14:textId="53ABA1D4" w:rsidR="00986E04" w:rsidRDefault="00DE6433" w:rsidP="00DE6433">
    <w:pPr>
      <w:pStyle w:val="Sidhuvud"/>
      <w:jc w:val="right"/>
    </w:pPr>
    <w:r>
      <w:rPr>
        <w:noProof/>
      </w:rPr>
      <w:drawing>
        <wp:inline distT="0" distB="0" distL="0" distR="0" wp14:anchorId="7A6C207F" wp14:editId="2127AA37">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rsidR="00986E04">
      <w:rPr>
        <w:noProof/>
      </w:rPr>
      <mc:AlternateContent>
        <mc:Choice Requires="wps">
          <w:drawing>
            <wp:anchor distT="0" distB="0" distL="114300" distR="114300" simplePos="0" relativeHeight="251663872" behindDoc="0" locked="0" layoutInCell="1" allowOverlap="1" wp14:anchorId="0703BCAF" wp14:editId="356A47A9">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3A71" id="Rectangle 7" o:spid="_x0000_s1026" style="position:absolute;margin-left:378pt;margin-top:-15.55pt;width:62.65pt;height:1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strokecolor="whit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2F6B" w14:textId="77777777" w:rsidR="00986E04" w:rsidRDefault="00986E04" w:rsidP="00332D94">
    <w:pPr>
      <w:pStyle w:val="Sidhuvud"/>
      <w:rPr>
        <w:szCs w:val="24"/>
      </w:rPr>
    </w:pPr>
    <w:r>
      <w:rPr>
        <w:noProof/>
      </w:rPr>
      <mc:AlternateContent>
        <mc:Choice Requires="wps">
          <w:drawing>
            <wp:anchor distT="0" distB="0" distL="114300" distR="114300" simplePos="0" relativeHeight="251662848" behindDoc="0" locked="0" layoutInCell="1" allowOverlap="1" wp14:anchorId="494C002D" wp14:editId="03AF99C4">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ADAD" id="Rectangle 5" o:spid="_x0000_s1026" style="position:absolute;margin-left:378pt;margin-top:-15.55pt;width:62.65pt;height:1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strokecolor="white"/>
          </w:pict>
        </mc:Fallback>
      </mc:AlternateContent>
    </w:r>
  </w:p>
  <w:p w14:paraId="0A1A01C7" w14:textId="77777777" w:rsidR="00986E04" w:rsidRDefault="00986E04" w:rsidP="00332D94">
    <w:pPr>
      <w:pStyle w:val="Sidhuvud"/>
    </w:pPr>
  </w:p>
  <w:p w14:paraId="22C2E3F8" w14:textId="77777777" w:rsidR="00986E04" w:rsidRDefault="00986E04" w:rsidP="00332D94">
    <w:pPr>
      <w:pStyle w:val="Sidhuvud"/>
    </w:pPr>
  </w:p>
  <w:p w14:paraId="29B06F2C" w14:textId="77777777" w:rsidR="00986E04" w:rsidRDefault="00986E04" w:rsidP="00332D9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BFE3" w14:textId="1DA79816" w:rsidR="00DF2E43" w:rsidRDefault="00C1153C" w:rsidP="00C1153C">
    <w:pPr>
      <w:pStyle w:val="Sidhuvud"/>
      <w:jc w:val="right"/>
    </w:pPr>
    <w:r>
      <w:rPr>
        <w:noProof/>
      </w:rPr>
      <w:drawing>
        <wp:inline distT="0" distB="0" distL="0" distR="0" wp14:anchorId="418247A7" wp14:editId="3E03AC55">
          <wp:extent cx="1571625" cy="4381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rsidR="00DF2E43">
      <w:rPr>
        <w:noProof/>
      </w:rPr>
      <mc:AlternateContent>
        <mc:Choice Requires="wps">
          <w:drawing>
            <wp:anchor distT="0" distB="0" distL="114300" distR="114300" simplePos="0" relativeHeight="251658240" behindDoc="0" locked="0" layoutInCell="1" allowOverlap="1" wp14:anchorId="02AA9866" wp14:editId="65A52A43">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125EC" id="Rectangle 7" o:spid="_x0000_s1026" style="position:absolute;margin-left:378pt;margin-top:-15.55pt;width:62.6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AC008E"/>
    <w:multiLevelType w:val="hybridMultilevel"/>
    <w:tmpl w:val="E772B5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513708"/>
    <w:multiLevelType w:val="hybridMultilevel"/>
    <w:tmpl w:val="D7600EA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D904E9"/>
    <w:multiLevelType w:val="hybridMultilevel"/>
    <w:tmpl w:val="14600B14"/>
    <w:lvl w:ilvl="0" w:tplc="641A9B2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79042C6"/>
    <w:multiLevelType w:val="hybridMultilevel"/>
    <w:tmpl w:val="EBAE0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6D4C3F9C"/>
    <w:multiLevelType w:val="hybridMultilevel"/>
    <w:tmpl w:val="EEFA7C38"/>
    <w:lvl w:ilvl="0" w:tplc="9D4283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658269513">
    <w:abstractNumId w:val="12"/>
  </w:num>
  <w:num w:numId="2" w16cid:durableId="1447387747">
    <w:abstractNumId w:val="15"/>
  </w:num>
  <w:num w:numId="3" w16cid:durableId="1114135299">
    <w:abstractNumId w:val="14"/>
  </w:num>
  <w:num w:numId="4" w16cid:durableId="306474104">
    <w:abstractNumId w:val="5"/>
  </w:num>
  <w:num w:numId="5" w16cid:durableId="417139867">
    <w:abstractNumId w:val="7"/>
  </w:num>
  <w:num w:numId="6" w16cid:durableId="421922889">
    <w:abstractNumId w:val="10"/>
  </w:num>
  <w:num w:numId="7" w16cid:durableId="284819765">
    <w:abstractNumId w:val="1"/>
  </w:num>
  <w:num w:numId="8" w16cid:durableId="769934217">
    <w:abstractNumId w:val="8"/>
  </w:num>
  <w:num w:numId="9" w16cid:durableId="453451574">
    <w:abstractNumId w:val="9"/>
  </w:num>
  <w:num w:numId="10" w16cid:durableId="606236436">
    <w:abstractNumId w:val="6"/>
  </w:num>
  <w:num w:numId="11" w16cid:durableId="2022931460">
    <w:abstractNumId w:val="0"/>
  </w:num>
  <w:num w:numId="12" w16cid:durableId="1780249350">
    <w:abstractNumId w:val="3"/>
  </w:num>
  <w:num w:numId="13" w16cid:durableId="1679036671">
    <w:abstractNumId w:val="2"/>
  </w:num>
  <w:num w:numId="14" w16cid:durableId="1251307560">
    <w:abstractNumId w:val="11"/>
  </w:num>
  <w:num w:numId="15" w16cid:durableId="2140606600">
    <w:abstractNumId w:val="13"/>
  </w:num>
  <w:num w:numId="16" w16cid:durableId="1426414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4676D"/>
    <w:rsid w:val="00071C4D"/>
    <w:rsid w:val="00073FB0"/>
    <w:rsid w:val="00087B68"/>
    <w:rsid w:val="000B0C89"/>
    <w:rsid w:val="000F310F"/>
    <w:rsid w:val="00105D8B"/>
    <w:rsid w:val="00107FA8"/>
    <w:rsid w:val="00117E74"/>
    <w:rsid w:val="00150C9A"/>
    <w:rsid w:val="00167844"/>
    <w:rsid w:val="0018206E"/>
    <w:rsid w:val="001A2E45"/>
    <w:rsid w:val="001A6570"/>
    <w:rsid w:val="001D6CC8"/>
    <w:rsid w:val="00225E0B"/>
    <w:rsid w:val="00246F62"/>
    <w:rsid w:val="00264BFE"/>
    <w:rsid w:val="00271080"/>
    <w:rsid w:val="002A6B27"/>
    <w:rsid w:val="002B7C8B"/>
    <w:rsid w:val="002D0241"/>
    <w:rsid w:val="002E0A96"/>
    <w:rsid w:val="002E4553"/>
    <w:rsid w:val="002F059E"/>
    <w:rsid w:val="00316452"/>
    <w:rsid w:val="00322A77"/>
    <w:rsid w:val="003231F7"/>
    <w:rsid w:val="00332D94"/>
    <w:rsid w:val="0036423D"/>
    <w:rsid w:val="00372102"/>
    <w:rsid w:val="00374732"/>
    <w:rsid w:val="003A2FF6"/>
    <w:rsid w:val="003B369F"/>
    <w:rsid w:val="003B6919"/>
    <w:rsid w:val="003C5B41"/>
    <w:rsid w:val="003D2710"/>
    <w:rsid w:val="003E537C"/>
    <w:rsid w:val="003F2228"/>
    <w:rsid w:val="00400FDC"/>
    <w:rsid w:val="00406C20"/>
    <w:rsid w:val="0040746E"/>
    <w:rsid w:val="00431B5C"/>
    <w:rsid w:val="004625ED"/>
    <w:rsid w:val="004A4717"/>
    <w:rsid w:val="004B4ED9"/>
    <w:rsid w:val="004B7A20"/>
    <w:rsid w:val="004E24A4"/>
    <w:rsid w:val="004F11D7"/>
    <w:rsid w:val="005140DE"/>
    <w:rsid w:val="00515287"/>
    <w:rsid w:val="00527E65"/>
    <w:rsid w:val="00530583"/>
    <w:rsid w:val="00571D50"/>
    <w:rsid w:val="00581405"/>
    <w:rsid w:val="005D151B"/>
    <w:rsid w:val="005E3AC1"/>
    <w:rsid w:val="005E5644"/>
    <w:rsid w:val="005E5A3A"/>
    <w:rsid w:val="006068A5"/>
    <w:rsid w:val="00614116"/>
    <w:rsid w:val="00620935"/>
    <w:rsid w:val="006303C2"/>
    <w:rsid w:val="00633C84"/>
    <w:rsid w:val="00641B50"/>
    <w:rsid w:val="00647E41"/>
    <w:rsid w:val="006534D8"/>
    <w:rsid w:val="00693B29"/>
    <w:rsid w:val="00696200"/>
    <w:rsid w:val="006A49C9"/>
    <w:rsid w:val="006A7B10"/>
    <w:rsid w:val="006B5FFB"/>
    <w:rsid w:val="006C2253"/>
    <w:rsid w:val="006C4A08"/>
    <w:rsid w:val="00704E43"/>
    <w:rsid w:val="00713D71"/>
    <w:rsid w:val="0074069B"/>
    <w:rsid w:val="0075659A"/>
    <w:rsid w:val="00795482"/>
    <w:rsid w:val="007A6373"/>
    <w:rsid w:val="007B68CB"/>
    <w:rsid w:val="007D4F5F"/>
    <w:rsid w:val="007F5DA3"/>
    <w:rsid w:val="00810BD4"/>
    <w:rsid w:val="008160E0"/>
    <w:rsid w:val="00846AAF"/>
    <w:rsid w:val="0085051C"/>
    <w:rsid w:val="008520E1"/>
    <w:rsid w:val="00857A0A"/>
    <w:rsid w:val="00886B6D"/>
    <w:rsid w:val="00903BFD"/>
    <w:rsid w:val="0090549C"/>
    <w:rsid w:val="00910FDD"/>
    <w:rsid w:val="00922598"/>
    <w:rsid w:val="00935632"/>
    <w:rsid w:val="00940ED2"/>
    <w:rsid w:val="0094227F"/>
    <w:rsid w:val="00965D34"/>
    <w:rsid w:val="00976C47"/>
    <w:rsid w:val="009806F9"/>
    <w:rsid w:val="00986E04"/>
    <w:rsid w:val="009872EE"/>
    <w:rsid w:val="009B1FAE"/>
    <w:rsid w:val="009B425D"/>
    <w:rsid w:val="009B5305"/>
    <w:rsid w:val="009D3142"/>
    <w:rsid w:val="009D5FFA"/>
    <w:rsid w:val="009E2904"/>
    <w:rsid w:val="009E436C"/>
    <w:rsid w:val="009E74E6"/>
    <w:rsid w:val="009F30FE"/>
    <w:rsid w:val="009F76CD"/>
    <w:rsid w:val="00A33719"/>
    <w:rsid w:val="00A657B9"/>
    <w:rsid w:val="00A7018C"/>
    <w:rsid w:val="00A73C78"/>
    <w:rsid w:val="00AB0079"/>
    <w:rsid w:val="00AB14D2"/>
    <w:rsid w:val="00AE4A6F"/>
    <w:rsid w:val="00AF23BB"/>
    <w:rsid w:val="00AF62B6"/>
    <w:rsid w:val="00B2523E"/>
    <w:rsid w:val="00B61C8C"/>
    <w:rsid w:val="00B729B2"/>
    <w:rsid w:val="00B758DA"/>
    <w:rsid w:val="00B82851"/>
    <w:rsid w:val="00BD0566"/>
    <w:rsid w:val="00BD31C6"/>
    <w:rsid w:val="00BE2387"/>
    <w:rsid w:val="00C1153C"/>
    <w:rsid w:val="00C1580D"/>
    <w:rsid w:val="00C17F9A"/>
    <w:rsid w:val="00C31968"/>
    <w:rsid w:val="00C31BEE"/>
    <w:rsid w:val="00C43323"/>
    <w:rsid w:val="00C51D98"/>
    <w:rsid w:val="00C56306"/>
    <w:rsid w:val="00CA4C4F"/>
    <w:rsid w:val="00CA765F"/>
    <w:rsid w:val="00CB3BB1"/>
    <w:rsid w:val="00CB56E6"/>
    <w:rsid w:val="00CC7620"/>
    <w:rsid w:val="00D07F83"/>
    <w:rsid w:val="00D325CC"/>
    <w:rsid w:val="00D443F4"/>
    <w:rsid w:val="00D45527"/>
    <w:rsid w:val="00D67040"/>
    <w:rsid w:val="00D72DA0"/>
    <w:rsid w:val="00D82F66"/>
    <w:rsid w:val="00D86409"/>
    <w:rsid w:val="00DD12E6"/>
    <w:rsid w:val="00DE34B3"/>
    <w:rsid w:val="00DE6433"/>
    <w:rsid w:val="00DF2E43"/>
    <w:rsid w:val="00DF7FEC"/>
    <w:rsid w:val="00E03E34"/>
    <w:rsid w:val="00E069BC"/>
    <w:rsid w:val="00E559C6"/>
    <w:rsid w:val="00E71832"/>
    <w:rsid w:val="00E73694"/>
    <w:rsid w:val="00E97A11"/>
    <w:rsid w:val="00EA3323"/>
    <w:rsid w:val="00F01D75"/>
    <w:rsid w:val="00F15B3D"/>
    <w:rsid w:val="00F33CCD"/>
    <w:rsid w:val="00F6393A"/>
    <w:rsid w:val="00F824F9"/>
    <w:rsid w:val="00FB36F9"/>
    <w:rsid w:val="00FB4D4E"/>
    <w:rsid w:val="00FB795D"/>
    <w:rsid w:val="00FC2E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C9FA2"/>
  <w15:docId w15:val="{8A974B18-272E-49A8-8E90-202F4DCF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9B2"/>
    <w:rPr>
      <w:rFonts w:ascii="Garamond" w:hAnsi="Garamond" w:cs="Arial"/>
      <w:sz w:val="24"/>
      <w:szCs w:val="26"/>
    </w:rPr>
  </w:style>
  <w:style w:type="paragraph" w:styleId="Rubrik1">
    <w:name w:val="heading 1"/>
    <w:basedOn w:val="Liststycke"/>
    <w:next w:val="Normal"/>
    <w:qFormat/>
    <w:rsid w:val="00B729B2"/>
    <w:pPr>
      <w:numPr>
        <w:numId w:val="0"/>
      </w:numPr>
      <w:spacing w:line="276" w:lineRule="auto"/>
      <w:contextualSpacing w:val="0"/>
      <w:outlineLvl w:val="0"/>
    </w:pPr>
    <w:rPr>
      <w:rFonts w:ascii="Arial" w:hAnsi="Arial" w:cs="Arial"/>
      <w:b/>
      <w:sz w:val="32"/>
      <w:szCs w:val="28"/>
    </w:rPr>
  </w:style>
  <w:style w:type="paragraph" w:styleId="Rubrik2">
    <w:name w:val="heading 2"/>
    <w:basedOn w:val="Normal"/>
    <w:next w:val="Normal"/>
    <w:qFormat/>
    <w:rsid w:val="00B729B2"/>
    <w:pPr>
      <w:keepNext/>
      <w:outlineLvl w:val="1"/>
    </w:pPr>
    <w:rPr>
      <w:rFonts w:ascii="Arial" w:hAnsi="Arial"/>
      <w:b/>
    </w:rPr>
  </w:style>
  <w:style w:type="paragraph" w:styleId="Rubrik3">
    <w:name w:val="heading 3"/>
    <w:basedOn w:val="Normal"/>
    <w:next w:val="Normal"/>
    <w:qFormat/>
    <w:rsid w:val="0004676D"/>
    <w:pPr>
      <w:keepNext/>
      <w:outlineLvl w:val="2"/>
    </w:pPr>
    <w:rPr>
      <w:rFonts w:ascii="Arial" w:hAnsi="Arial"/>
    </w:rPr>
  </w:style>
  <w:style w:type="paragraph" w:styleId="Rubrik4">
    <w:name w:val="heading 4"/>
    <w:basedOn w:val="Normal"/>
    <w:next w:val="Normal"/>
    <w:link w:val="Rubrik4Char"/>
    <w:semiHidden/>
    <w:unhideWhenUsed/>
    <w:qFormat/>
    <w:rsid w:val="00AE4A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5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4Char">
    <w:name w:val="Rubrik 4 Char"/>
    <w:basedOn w:val="Standardstycketeckensnitt"/>
    <w:link w:val="Rubrik4"/>
    <w:semiHidden/>
    <w:rsid w:val="00AE4A6F"/>
    <w:rPr>
      <w:rFonts w:asciiTheme="majorHAnsi" w:eastAsiaTheme="majorEastAsia" w:hAnsiTheme="majorHAnsi" w:cstheme="majorBidi"/>
      <w:i/>
      <w:iCs/>
      <w:color w:val="365F91" w:themeColor="accent1" w:themeShade="BF"/>
      <w:sz w:val="22"/>
      <w:szCs w:val="26"/>
    </w:rPr>
  </w:style>
  <w:style w:type="character" w:styleId="Olstomnmnande">
    <w:name w:val="Unresolved Mention"/>
    <w:basedOn w:val="Standardstycketeckensnitt"/>
    <w:uiPriority w:val="99"/>
    <w:semiHidden/>
    <w:unhideWhenUsed/>
    <w:rsid w:val="00C56306"/>
    <w:rPr>
      <w:color w:val="605E5C"/>
      <w:shd w:val="clear" w:color="auto" w:fill="E1DFDD"/>
    </w:rPr>
  </w:style>
  <w:style w:type="character" w:styleId="AnvndHyperlnk">
    <w:name w:val="FollowedHyperlink"/>
    <w:basedOn w:val="Standardstycketeckensnitt"/>
    <w:semiHidden/>
    <w:unhideWhenUsed/>
    <w:rsid w:val="00264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4311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ervicedesk.lthalland.se/WorkOrder.do?woMode=newWO&amp;reqTemplate=1920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typ xmlns="f8f8c9c7-e665-4ea2-af66-806bafdf37c2">Rutin</Dokumenttyp>
    <System xmlns="f8f8c9c7-e665-4ea2-af66-806bafdf37c2">Dragon Medical</System>
    <_x00c5_r xmlns="f8f8c9c7-e665-4ea2-af66-806bafdf37c2">2023</_x00c5_r>
    <Status xmlns="f8f8c9c7-e665-4ea2-af66-806bafdf37c2">Klart</Status>
  </documentManagement>
</p:properties>
</file>

<file path=customXml/item2.xml><?xml version="1.0" encoding="utf-8"?>
<ct:contentTypeSchema xmlns:ct="http://schemas.microsoft.com/office/2006/metadata/contentType" xmlns:ma="http://schemas.microsoft.com/office/2006/metadata/properties/metaAttributes" ct:_="" ma:_="" ma:contentTypeName="Samarbetsdokument" ma:contentTypeID="0x010100C4071D1469B1534FBE45DE8B67EBCF160021CB56CD9A8B3F46BFF1A9056E4CCA0D" ma:contentTypeVersion="29" ma:contentTypeDescription="Innehållstyp för Dokument" ma:contentTypeScope="" ma:versionID="b185b62e96ce016581e24d134bf1246d">
  <xsd:schema xmlns:xsd="http://www.w3.org/2001/XMLSchema" xmlns:xs="http://www.w3.org/2001/XMLSchema" xmlns:p="http://schemas.microsoft.com/office/2006/metadata/properties" xmlns:ns2="f8f8c9c7-e665-4ea2-af66-806bafdf37c2" xmlns:ns3="c2d5e211-33a7-487b-809f-6a439a966d0b" targetNamespace="http://schemas.microsoft.com/office/2006/metadata/properties" ma:root="true" ma:fieldsID="46eda0d1ca0b98b8784e16484951b65b" ns2:_="" ns3:_="">
    <xsd:import namespace="f8f8c9c7-e665-4ea2-af66-806bafdf37c2"/>
    <xsd:import namespace="c2d5e211-33a7-487b-809f-6a439a966d0b"/>
    <xsd:element name="properties">
      <xsd:complexType>
        <xsd:sequence>
          <xsd:element name="documentManagement">
            <xsd:complexType>
              <xsd:all>
                <xsd:element ref="ns2:Status"/>
                <xsd:element ref="ns2:System"/>
                <xsd:element ref="ns2:_x00c5_r"/>
                <xsd:element ref="ns2:Dokumenttyp"/>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c9c7-e665-4ea2-af66-806bafdf37c2" elementFormDefault="qualified">
    <xsd:import namespace="http://schemas.microsoft.com/office/2006/documentManagement/types"/>
    <xsd:import namespace="http://schemas.microsoft.com/office/infopath/2007/PartnerControls"/>
    <xsd:element name="Status" ma:index="4" ma:displayName="Status" ma:format="Dropdown" ma:internalName="Status" ma:readOnly="false">
      <xsd:simpleType>
        <xsd:union memberTypes="dms:Text">
          <xsd:simpleType>
            <xsd:restriction base="dms:Choice">
              <xsd:enumeration value="Granska"/>
              <xsd:enumeration value="Klart"/>
              <xsd:enumeration value="Utkast"/>
              <xsd:enumeration value="Till arkiv"/>
            </xsd:restriction>
          </xsd:simpleType>
        </xsd:union>
      </xsd:simpleType>
    </xsd:element>
    <xsd:element name="System" ma:index="5" ma:displayName="System" ma:format="Dropdown" ma:internalName="System">
      <xsd:simpleType>
        <xsd:union memberTypes="dms:Text">
          <xsd:simpleType>
            <xsd:restriction base="dms:Choice">
              <xsd:enumeration value="Diktett"/>
              <xsd:enumeration value="Dragon Medical"/>
              <xsd:enumeration value="E-arkiv"/>
              <xsd:enumeration value="EyeDoc"/>
              <xsd:enumeration value="KIBI Base"/>
              <xsd:enumeration value="Kurir"/>
              <xsd:enumeration value="LIV"/>
              <xsd:enumeration value="Medolio"/>
              <xsd:enumeration value="Swedstar"/>
              <xsd:enumeration value="VAS"/>
              <xsd:enumeration value="VAS Privata vårdgivare"/>
              <xsd:enumeration value="Worklist insieme"/>
              <xsd:enumeration value="Systemoberoende"/>
              <xsd:enumeration value="Övrigt"/>
            </xsd:restriction>
          </xsd:simpleType>
        </xsd:union>
      </xsd:simpleType>
    </xsd:element>
    <xsd:element name="_x00c5_r" ma:index="6" ma:displayName="År" ma:format="Dropdown" ma:internalName="_x00c5_r" ma:readOnly="false">
      <xsd:simpleType>
        <xsd:union memberTypes="dms:Text">
          <xsd:simpleType>
            <xsd:restriction base="dms:Choice">
              <xsd:enumeration value="2020"/>
              <xsd:enumeration value="2019"/>
              <xsd:enumeration value="2018"/>
              <xsd:enumeration value="2017"/>
              <xsd:enumeration value="2016"/>
              <xsd:enumeration value="2015"/>
              <xsd:enumeration value="2014"/>
              <xsd:enumeration value="2013 och tidigare"/>
            </xsd:restriction>
          </xsd:simpleType>
        </xsd:union>
      </xsd:simpleType>
    </xsd:element>
    <xsd:element name="Dokumenttyp" ma:index="7" ma:displayName="Informationstyp" ma:format="Dropdown" ma:internalName="Dokumenttyp" ma:readOnly="false">
      <xsd:simpleType>
        <xsd:union memberTypes="dms:Text">
          <xsd:simpleType>
            <xsd:restriction base="dms:Choice">
              <xsd:enumeration value="Avtal"/>
              <xsd:enumeration value="Beslut/Beslutsunderlag"/>
              <xsd:enumeration value="Beställning"/>
              <xsd:enumeration value="Blankett"/>
              <xsd:enumeration value="Checklista"/>
              <xsd:enumeration value="Ekonomi/Budget"/>
              <xsd:enumeration value="Förstudie"/>
              <xsd:enumeration value="Förteckning"/>
              <xsd:enumeration value="Informationsmaterial"/>
              <xsd:enumeration value="Kravspecifikation"/>
              <xsd:enumeration value="Leverans"/>
              <xsd:enumeration value="Mall"/>
              <xsd:enumeration value="Nyhetsbrev"/>
              <xsd:enumeration value="Objektplan"/>
              <xsd:enumeration value="Plan"/>
              <xsd:enumeration value="Planering"/>
              <xsd:enumeration value="Presentation"/>
              <xsd:enumeration value="Rapport"/>
              <xsd:enumeration value="Referensmaterial"/>
              <xsd:enumeration value="Riskanalys"/>
              <xsd:enumeration value="Rollbeskrivning"/>
              <xsd:enumeration value="Rutin"/>
              <xsd:enumeration value="Support"/>
              <xsd:enumeration value="Test"/>
              <xsd:enumeration value="Utbildningsmaterial - läk"/>
              <xsd:enumeration value="Utbildningsmaterial - AT-läk"/>
              <xsd:enumeration value="Utbildningsmaterial - ssk"/>
              <xsd:enumeration value="Utbildningsmaterial - usk"/>
              <xsd:enumeration value="Utbildningsmaterial - sek"/>
              <xsd:enumeration value="Utbildningsmaterial - info"/>
              <xsd:enumeration value="Utbildningsmaterial - övr personal"/>
              <xsd:enumeration value="Utbildningsmaterial - övriga"/>
              <xsd:enumeration value="Utbildningsmaterial"/>
              <xsd:enumeration value="Utvecklingsönskemål"/>
              <xsd:enumeration value="Övrigt"/>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d5e211-33a7-487b-809f-6a439a966d0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628576a3-8434-4986-aeeb-c9c5c3947adc"/>
    <ds:schemaRef ds:uri="95adaae7-f3b8-4594-ad2f-b3cc4c460f26"/>
    <ds:schemaRef ds:uri="http://schemas.microsoft.com/office/infopath/2007/PartnerControls"/>
    <ds:schemaRef ds:uri="http://schemas.microsoft.com/sharepoint/v4"/>
    <ds:schemaRef ds:uri="http://schemas.microsoft.com/sharepoint/v3"/>
    <ds:schemaRef ds:uri="f8f8c9c7-e665-4ea2-af66-806bafdf37c2"/>
  </ds:schemaRefs>
</ds:datastoreItem>
</file>

<file path=customXml/itemProps2.xml><?xml version="1.0" encoding="utf-8"?>
<ds:datastoreItem xmlns:ds="http://schemas.openxmlformats.org/officeDocument/2006/customXml" ds:itemID="{D52B28B9-3B68-43B0-8510-4822D1AB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c9c7-e665-4ea2-af66-806bafdf37c2"/>
    <ds:schemaRef ds:uri="c2d5e211-33a7-487b-809f-6a439a966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74944-3398-4D3B-B897-AE81E7D9F69B}">
  <ds:schemaRefs>
    <ds:schemaRef ds:uri="http://schemas.microsoft.com/sharepoint/v3/contenttype/forms"/>
  </ds:schemaRefs>
</ds:datastoreItem>
</file>

<file path=customXml/itemProps4.xml><?xml version="1.0" encoding="utf-8"?>
<ds:datastoreItem xmlns:ds="http://schemas.openxmlformats.org/officeDocument/2006/customXml" ds:itemID="{6B543CA3-A8BE-4F56-B63E-1C52B07C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5856</Characters>
  <Application>Microsoft Office Word</Application>
  <DocSecurity>4</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Innehållsmall styrda dokument (grunddokument)</vt:lpstr>
    </vt:vector>
  </TitlesOfParts>
  <Company>Microsoft</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 Medical One - Införandeprocess</dc:title>
  <dc:creator>Carlefred Viktor H RK</dc:creator>
  <cp:lastModifiedBy>Thelin Anna A RK</cp:lastModifiedBy>
  <cp:revision>2</cp:revision>
  <cp:lastPrinted>2013-06-04T11:54:00Z</cp:lastPrinted>
  <dcterms:created xsi:type="dcterms:W3CDTF">2023-05-04T14:11:00Z</dcterms:created>
  <dcterms:modified xsi:type="dcterms:W3CDTF">2023-05-04T14:11:00Z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0x010100C4071D1469B1534FBE45DE8B67EBCF160021CB56CD9A8B3F46BFF1A9056E4CCA0D</vt:lpwstr>
  </property>
  <property fmtid="{D5CDD505-2E9C-101B-9397-08002B2CF9AE}" pid="3" name="FSCD_DocumentType">
    <vt:lpwstr>1;#Rutin|3ecd4889-b546-4b08-8daf-345ed6a301ab</vt:lpwstr>
  </property>
  <property fmtid="{D5CDD505-2E9C-101B-9397-08002B2CF9AE}" pid="4" name="_dlc_DocIdItemGuid">
    <vt:lpwstr>e1bddcc1-25f9-403a-a2c5-6e4aafa920aa</vt:lpwstr>
  </property>
</Properties>
</file>