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83B" w14:textId="6BCBD502" w:rsidR="00853713" w:rsidRDefault="00853713" w:rsidP="00853713">
      <w:pPr>
        <w:pStyle w:val="Rubrik1"/>
      </w:pPr>
      <w:r>
        <w:t>Möjlighet att lämna uppgifter till Polismyndigheten</w:t>
      </w:r>
      <w:r>
        <w:rPr>
          <w:rStyle w:val="Fotnotsreferens"/>
        </w:rPr>
        <w:footnoteReference w:id="1"/>
      </w:r>
      <w:r>
        <w:t xml:space="preserve"> </w:t>
      </w:r>
    </w:p>
    <w:p w14:paraId="24BB3948" w14:textId="73C382C3" w:rsidR="00C81F74" w:rsidRPr="00853713" w:rsidRDefault="00853713" w:rsidP="00853713">
      <w:r w:rsidRPr="00853713">
        <w:t>Myndigheter och personal inom hälso- och sjukvården har om vissa förutsättningar är uppfyllda en möjlighet att röja sekretessen och lämna vidare uppgifter till åklagare och polis när det gäller misstanke om brott eller uppgifter i syfte att förhindra eller förebygga brott.</w:t>
      </w:r>
    </w:p>
    <w:p w14:paraId="7ECA1887" w14:textId="23185734" w:rsidR="00853713" w:rsidRDefault="00853713" w:rsidP="00853713">
      <w:r w:rsidRPr="00853713">
        <w:t>Bestämmelser om när hälso- och sjukvården utan hinder av sekretess eller tystnadsplikt får lämna uppgifter till bl.a. Polismyndigheten finns i offentlighets- och sekretesslagen (2009:400) och patientsäkerhetslagen (2010:659). 7 kap. 13 § HSLF-FS 2022:3</w:t>
      </w:r>
    </w:p>
    <w:p w14:paraId="6C4A34CD" w14:textId="28455E3B" w:rsidR="00853713" w:rsidRDefault="00853713" w:rsidP="00853713">
      <w:r>
        <w:t xml:space="preserve">Utgångspunkten </w:t>
      </w:r>
      <w:r>
        <w:t>ska</w:t>
      </w:r>
      <w:r>
        <w:t xml:space="preserve"> vara att </w:t>
      </w:r>
      <w:r w:rsidRPr="00853713">
        <w:rPr>
          <w:b/>
          <w:bCs/>
        </w:rPr>
        <w:t>hälso- och sjukvården försöker få den enskildes samtycke</w:t>
      </w:r>
      <w:r>
        <w:t xml:space="preserve"> till att lämna ut uppgifterna till polisen, eftersom den enskildes förtroende för arbetet inom hälso- och sjukvården annars riskerar att undergrävas. Det är viktigt att beakta att den enskilde endast kan efterge sekretessen avseende sig själv, och inte om andra personer.</w:t>
      </w:r>
    </w:p>
    <w:p w14:paraId="1C7DFF42" w14:textId="2237228D" w:rsidR="00853713" w:rsidRDefault="00853713" w:rsidP="00853713">
      <w:r>
        <w:t xml:space="preserve">Personal inom hälso- och sjukvården bör i första hand arbeta för att </w:t>
      </w:r>
      <w:r w:rsidRPr="00853713">
        <w:rPr>
          <w:b/>
          <w:bCs/>
        </w:rPr>
        <w:t>motivera brottsoffer att själva anmäla eventuella brott och stödja dem i att fullfölja</w:t>
      </w:r>
      <w:r>
        <w:t xml:space="preserve"> en sådan anmälan. I den mån en våldsutsatt person inte vill att Polismyndigheten ska kontaktas bör hälso- och sjukvården som huvudregel respektera detta. Det kan dock finnas situationer då hälso- och sjukvården bedömer att uppgifter bör lämnas ut till Polismyndigheten, trots att det saknas samtycke från den enskilde.</w:t>
      </w:r>
    </w:p>
    <w:p w14:paraId="70D25EB9" w14:textId="59B884C5" w:rsidR="00853713" w:rsidRDefault="00853713" w:rsidP="007A1F67">
      <w:pPr>
        <w:pStyle w:val="Rubrik2"/>
        <w:numPr>
          <w:ilvl w:val="0"/>
          <w:numId w:val="17"/>
        </w:numPr>
        <w:ind w:left="426" w:hanging="426"/>
      </w:pPr>
      <w:r>
        <w:t>Lämna ut uppgifter om barn och vuxna i brottsförebyggande syfte</w:t>
      </w:r>
    </w:p>
    <w:p w14:paraId="590A15FF" w14:textId="558855F7" w:rsidR="00853713" w:rsidRDefault="00853713" w:rsidP="00853713">
      <w:r>
        <w:t>Hälso- och sjukvården får under vissa förutsättningar utan hinder av sekretess lämna uppgifter till Polismyndigheten i syfte att förhindra att en enskild begår ett allvarligt brott mot en närstående som riskerar den närståendes liv och hälsa. Detta regleras i 10 kap. 18 c § OSL.</w:t>
      </w:r>
    </w:p>
    <w:p w14:paraId="456E4784" w14:textId="274AA9FD" w:rsidR="00853713" w:rsidRDefault="00853713" w:rsidP="005D0A7A">
      <w:pPr>
        <w:pStyle w:val="Rubrik3"/>
      </w:pPr>
      <w:r>
        <w:t>När får uppgifter lämnas ut enligt bestämmelsen?</w:t>
      </w:r>
    </w:p>
    <w:p w14:paraId="7DB841BC" w14:textId="77777777" w:rsidR="00853713" w:rsidRDefault="00853713" w:rsidP="005D0A7A">
      <w:pPr>
        <w:pStyle w:val="Rubrik4"/>
      </w:pPr>
      <w:r>
        <w:t xml:space="preserve">Det ska finnas risk att allvarligare brott kommer begås i en nära relation </w:t>
      </w:r>
    </w:p>
    <w:p w14:paraId="0372EBAF" w14:textId="1CAEEC9F" w:rsidR="00853713" w:rsidRDefault="00853713" w:rsidP="00853713">
      <w:r>
        <w:t>Det ska på grund av särskilda omständigheter finnas risk för att den enskilde kommer att begå ett sådant brott mot den närstående som avses i 3, 4 eller 6 kap. brottsbalken för vilket det inte är föreskrivet lindrigare straff än fängelse i ett år. Det kan till exempel vara mord, dråp, grov misshandel, olaga frihets</w:t>
      </w:r>
      <w:r>
        <w:t>berövande, grov kvinnofrids- och fridskränkning, människohandel, heders</w:t>
      </w:r>
      <w:r>
        <w:t>förtryck, våldtäkt och våldtäkt mot barn.</w:t>
      </w:r>
    </w:p>
    <w:p w14:paraId="5305036F" w14:textId="77777777" w:rsidR="00853713" w:rsidRDefault="00853713" w:rsidP="00853713"/>
    <w:p w14:paraId="1CC72124" w14:textId="77777777" w:rsidR="00853713" w:rsidRDefault="00853713" w:rsidP="00853713"/>
    <w:p w14:paraId="3ECD07AD" w14:textId="77777777" w:rsidR="00853713" w:rsidRDefault="00853713" w:rsidP="005D0A7A">
      <w:pPr>
        <w:pStyle w:val="Rubrik4"/>
      </w:pPr>
      <w:r>
        <w:lastRenderedPageBreak/>
        <w:t xml:space="preserve">Uppgiften ska antas kunna bidra till att förhindra brottet </w:t>
      </w:r>
    </w:p>
    <w:p w14:paraId="7426A620" w14:textId="02990C0B" w:rsidR="00853713" w:rsidRDefault="00853713" w:rsidP="00853713">
      <w:r>
        <w:t>En andra förutsättning är att uppgiften kan antas bidra till att förhindra brottet. Det innebär att det inte krävs att uppgiftslämnandet med säkerhet kan sä</w:t>
      </w:r>
      <w:r>
        <w:t>g</w:t>
      </w:r>
      <w:r>
        <w:t>as få en sådan effekt. Det är i stället tillräckligt med ett antagande om att uppgifterna kan bidra till att Polismyndigheten till exempel ingriper i en konkret situation för att förhindra att ett brott begås eller vidtar åtgärder för att skydda det tilltänkta brottsoffret.</w:t>
      </w:r>
    </w:p>
    <w:p w14:paraId="0E550055" w14:textId="02565B34" w:rsidR="00853713" w:rsidRDefault="00853713" w:rsidP="005D0A7A">
      <w:pPr>
        <w:pStyle w:val="Rubrik4"/>
      </w:pPr>
      <w:r>
        <w:t>Det ska inte vara olämpligt att lämna ut uppgiften</w:t>
      </w:r>
    </w:p>
    <w:p w14:paraId="1B0CE92D" w14:textId="7C521D3D" w:rsidR="00853713" w:rsidRDefault="00853713" w:rsidP="00853713">
      <w:r>
        <w:t>Den tredje förutsättningen är att det, med hänsyn till planerade eller pågående insatser för den enskilde eller för den närstående, eller av andra särskilda skäl, inte är olämpligt att uppgiften lämnas ut. Det kan till exempel handla om omständigheter i det enskilda fallet som visar på en risk för att ett uppgiftslämnande kan rubba förtroendet för myndigheten på ett sådant sätt att den enskilde eller den närstående inte söker hjälp och stöd. Andra särskilda skäl kan exempelvis vara att det bedöms som olämpligt att vidarebefordra en uppgift med hänsyn till någon annan persons intressen, till exempel en våldsutsatt persons närstående eller ett barn</w:t>
      </w:r>
      <w:r w:rsidR="00F7784D">
        <w:t>.</w:t>
      </w:r>
    </w:p>
    <w:p w14:paraId="47BD4FCA" w14:textId="06238EE5" w:rsidR="00F7784D" w:rsidRDefault="00F7784D" w:rsidP="00D921D2">
      <w:pPr>
        <w:pStyle w:val="Rubrik2"/>
        <w:numPr>
          <w:ilvl w:val="0"/>
          <w:numId w:val="17"/>
        </w:numPr>
      </w:pPr>
      <w:r>
        <w:t xml:space="preserve">Lämna uppgifter om eller anmäla misstanke om brott </w:t>
      </w:r>
    </w:p>
    <w:p w14:paraId="5A1C9C34" w14:textId="77777777" w:rsidR="00F7784D" w:rsidRDefault="00F7784D" w:rsidP="00853713">
      <w:r>
        <w:t xml:space="preserve">I vissa situationer får hälso- och sjukvården med stöd av 10 kap. 21–23 §§ OSL utan hinder av sekretess lämna uppgifter till Polismyndigheten vid misstanke om ett begånget brott. Dessa sekretessbrytande regler innebär en möjlighet för hälso- och sjukvården att på eget initiativ anmäla misstankar om brott till de brottsutredande myndigheterna. </w:t>
      </w:r>
    </w:p>
    <w:p w14:paraId="3467970B" w14:textId="77777777" w:rsidR="00F7784D" w:rsidRDefault="00F7784D" w:rsidP="00F7784D">
      <w:pPr>
        <w:pStyle w:val="Rubrik3"/>
      </w:pPr>
      <w:r>
        <w:t xml:space="preserve">Misstanke om begånget brott mot vuxna </w:t>
      </w:r>
    </w:p>
    <w:p w14:paraId="3D8D9A25" w14:textId="77777777" w:rsidR="00C76661" w:rsidRDefault="00F7784D" w:rsidP="00853713">
      <w:r>
        <w:t xml:space="preserve">Myndigheter och personal inom den offentliga hälso- och sjukvården har en möjlighet att röja sekretessen och lämna vidare uppgifter till exempelvis åklagare och Polismyndigheten när det gäller misstanke om vissa begångna brott. Det krävs dock att det föreskrivna </w:t>
      </w:r>
      <w:r w:rsidRPr="00F7784D">
        <w:rPr>
          <w:b/>
          <w:bCs/>
        </w:rPr>
        <w:t>straffet för brottet är minst ett års fängelse</w:t>
      </w:r>
      <w:r>
        <w:t xml:space="preserve">. Exempel på sådana brott är mord, dråp, olaga frihetsberövande, grov misshandel, olaga frihetsberövande, människohandel, grov kvinnofrids- och fridskränkning, hedersförtryck och våldtäkt. Vid </w:t>
      </w:r>
      <w:r w:rsidRPr="00F7784D">
        <w:rPr>
          <w:b/>
          <w:bCs/>
        </w:rPr>
        <w:t>försök till brott krävs att det föreskrivna straffet är minst två års fängelse</w:t>
      </w:r>
      <w:r>
        <w:t xml:space="preserve">. Mordförsök och försök till dråp, våldtäkt eller människohandel är exempel på sådana brott. Om personalen känner tvekan om hur en misstänkt gärning bör rubriceras, till exempel om den kan utgöra grov misshandel, kan personalen </w:t>
      </w:r>
      <w:r w:rsidRPr="00F7784D">
        <w:rPr>
          <w:b/>
          <w:bCs/>
        </w:rPr>
        <w:t>rådgöra med polis eller åklagare</w:t>
      </w:r>
      <w:r>
        <w:t xml:space="preserve"> genom att redogöra för omständigheterna i avidentifierad form innan personalen tar ställning till om det föreligger förutsättningar för ett sekretessgenombrott.</w:t>
      </w:r>
    </w:p>
    <w:p w14:paraId="4D25BEDE" w14:textId="77777777" w:rsidR="00C76661" w:rsidRDefault="00F7784D" w:rsidP="00C76661">
      <w:pPr>
        <w:pStyle w:val="Rubrik3"/>
      </w:pPr>
      <w:r>
        <w:t xml:space="preserve">Misstanke om brott mot barn </w:t>
      </w:r>
    </w:p>
    <w:p w14:paraId="6178383E" w14:textId="1C0CC08F" w:rsidR="00F7784D" w:rsidRDefault="00F7784D" w:rsidP="00853713">
      <w:r>
        <w:t>När det gäller misstanke om vissa brott mot barn under 18 år finns möjlighet att bryta sekretessen om misstanken rör brott enligt 3, 4, eller 6 kap.</w:t>
      </w:r>
      <w:r w:rsidR="00C76661">
        <w:t xml:space="preserve"> i Brottsbalken</w:t>
      </w:r>
      <w:r>
        <w:t xml:space="preserve">, det vill säga brott mot liv och hälsa, brott mot frid och frihet eller sexualbrott. Även brott som avses i lagen med förbud mot könsstympning av kvinnor omfattas. </w:t>
      </w:r>
      <w:r w:rsidRPr="00C76661">
        <w:rPr>
          <w:b/>
          <w:bCs/>
        </w:rPr>
        <w:t>Det krävs inte att brottet uppnår en viss straffskala</w:t>
      </w:r>
      <w:r>
        <w:t>, som det gör för vuxna enligt ovan. När det gäller barn behöver hälso- och sjukvården också beakta anmälningsskyldigheten enligt 14 kap. 1 § SoL</w:t>
      </w:r>
      <w:r w:rsidR="00C76661">
        <w:t>.</w:t>
      </w:r>
    </w:p>
    <w:p w14:paraId="78C755AC" w14:textId="5037A3DA" w:rsidR="00D921D2" w:rsidRDefault="00D921D2" w:rsidP="00D921D2">
      <w:pPr>
        <w:pStyle w:val="Rubrik2"/>
        <w:numPr>
          <w:ilvl w:val="0"/>
          <w:numId w:val="17"/>
        </w:numPr>
      </w:pPr>
      <w:r>
        <w:lastRenderedPageBreak/>
        <w:t xml:space="preserve">Underlåtenhet att anmäla förestående eller pågående allvarliga brott </w:t>
      </w:r>
    </w:p>
    <w:p w14:paraId="4BF89DE2" w14:textId="77777777" w:rsidR="004C2AA9" w:rsidRDefault="00D921D2" w:rsidP="00853713">
      <w:r>
        <w:t xml:space="preserve">Det föreligger en </w:t>
      </w:r>
      <w:r w:rsidRPr="00DA4B57">
        <w:rPr>
          <w:b/>
          <w:bCs/>
        </w:rPr>
        <w:t>allmän skyldighet</w:t>
      </w:r>
      <w:r>
        <w:t xml:space="preserve"> enligt 23 kap. 6 § BrB att göra en anmä</w:t>
      </w:r>
      <w:r>
        <w:t>l</w:t>
      </w:r>
      <w:r>
        <w:t xml:space="preserve">an för vissa allvarliga brott som är ”å färde”. Annars kan man dömas för underlåtenhet att avslöja brottet. Det kan till exempel gälla om personalen får reda på att någon som har varit i kontakt med hälso- och sjukvården planerar att döda eller allvarligt misshandla någon. I sådana fall </w:t>
      </w:r>
      <w:r w:rsidRPr="00DA4B57">
        <w:rPr>
          <w:b/>
          <w:bCs/>
        </w:rPr>
        <w:t>går anmälningsskyldigheten före tystnadsplikten</w:t>
      </w:r>
      <w:r>
        <w:t>. Straffansvar för underlåtenhet att avslöja eller förhindra brott förutsätter bland annat att gärningen har fortskridit så långt att den är straffbar och att brottet kan avslöjas eller förhindras utan fara för den handlande eller för någon annan.</w:t>
      </w:r>
    </w:p>
    <w:p w14:paraId="3FB1CC40" w14:textId="56B2D96F" w:rsidR="004C2AA9" w:rsidRDefault="00D921D2" w:rsidP="004C2AA9">
      <w:pPr>
        <w:pStyle w:val="Rubrik2"/>
        <w:numPr>
          <w:ilvl w:val="0"/>
          <w:numId w:val="17"/>
        </w:numPr>
      </w:pPr>
      <w:r>
        <w:t xml:space="preserve">Nödsituationer </w:t>
      </w:r>
    </w:p>
    <w:p w14:paraId="42EAED27" w14:textId="79C70A3E" w:rsidR="00D921D2" w:rsidRDefault="004C2AA9" w:rsidP="00853713">
      <w:r>
        <w:t>D</w:t>
      </w:r>
      <w:r w:rsidR="00D921D2">
        <w:t>et också vara nödvändigt att lämna ut sekretesskyddade uppgifter för att avvärja omedelbar fara för liv, hälsa eller vär</w:t>
      </w:r>
      <w:r>
        <w:t xml:space="preserve">defull egendom. </w:t>
      </w:r>
    </w:p>
    <w:p w14:paraId="45511FA1" w14:textId="77777777" w:rsidR="00FD7347" w:rsidRDefault="00FD7347" w:rsidP="00853713"/>
    <w:p w14:paraId="6355D26C" w14:textId="396D2C72" w:rsidR="00FD7347" w:rsidRDefault="00FD7347" w:rsidP="00853713">
      <w:r>
        <w:t>Framtagen av: Eva Jadeling, hälso- och sjukvårdsstrateg</w:t>
      </w:r>
    </w:p>
    <w:p w14:paraId="67F7CD10" w14:textId="49B2F9B5" w:rsidR="00FD7347" w:rsidRPr="00853713" w:rsidRDefault="005D5D0A" w:rsidP="00853713">
      <w:r>
        <w:t>2023-07-06</w:t>
      </w:r>
    </w:p>
    <w:sectPr w:rsidR="00FD7347" w:rsidRPr="00853713" w:rsidSect="009A0745">
      <w:headerReference w:type="even" r:id="rId8"/>
      <w:headerReference w:type="default" r:id="rId9"/>
      <w:footerReference w:type="even" r:id="rId10"/>
      <w:footerReference w:type="default" r:id="rId11"/>
      <w:headerReference w:type="first" r:id="rId12"/>
      <w:footerReference w:type="first" r:id="rId13"/>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18DA" w14:textId="77777777" w:rsidR="00EB551D" w:rsidRDefault="00EB551D" w:rsidP="00ED6C6F">
      <w:pPr>
        <w:spacing w:line="240" w:lineRule="auto"/>
      </w:pPr>
      <w:r>
        <w:separator/>
      </w:r>
    </w:p>
  </w:endnote>
  <w:endnote w:type="continuationSeparator" w:id="0">
    <w:p w14:paraId="562639E8" w14:textId="77777777" w:rsidR="00EB551D" w:rsidRDefault="00EB551D"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08A" w14:textId="77777777" w:rsidR="00523FFC" w:rsidRDefault="00523F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78C" w14:textId="77777777" w:rsidR="00523FFC" w:rsidRDefault="00523F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F8A9" w14:textId="77777777" w:rsidR="00523FFC" w:rsidRDefault="00523F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BA03" w14:textId="77777777" w:rsidR="00EB551D" w:rsidRDefault="00EB551D" w:rsidP="00ED6C6F">
      <w:pPr>
        <w:spacing w:line="240" w:lineRule="auto"/>
      </w:pPr>
      <w:r>
        <w:separator/>
      </w:r>
    </w:p>
  </w:footnote>
  <w:footnote w:type="continuationSeparator" w:id="0">
    <w:p w14:paraId="0EB154E3" w14:textId="77777777" w:rsidR="00EB551D" w:rsidRDefault="00EB551D" w:rsidP="00ED6C6F">
      <w:pPr>
        <w:spacing w:line="240" w:lineRule="auto"/>
      </w:pPr>
      <w:r>
        <w:continuationSeparator/>
      </w:r>
    </w:p>
  </w:footnote>
  <w:footnote w:id="1">
    <w:p w14:paraId="05B7919C" w14:textId="65AA68EE" w:rsidR="00853713" w:rsidRDefault="00853713">
      <w:pPr>
        <w:pStyle w:val="Fotnotstext"/>
      </w:pPr>
      <w:r>
        <w:rPr>
          <w:rStyle w:val="Fotnotsreferens"/>
        </w:rPr>
        <w:footnoteRef/>
      </w:r>
      <w:r>
        <w:t xml:space="preserve"> </w:t>
      </w:r>
      <w:hyperlink r:id="rId1" w:history="1">
        <w:r w:rsidR="00B968C0" w:rsidRPr="00B968C0">
          <w:rPr>
            <w:rStyle w:val="Hyperlnk"/>
          </w:rPr>
          <w:t xml:space="preserve">Våld i nära relationer </w:t>
        </w:r>
        <w:r w:rsidR="00B968C0" w:rsidRPr="00B968C0">
          <w:rPr>
            <w:rStyle w:val="Hyperlnk"/>
          </w:rPr>
          <w:t xml:space="preserve">- </w:t>
        </w:r>
        <w:r w:rsidR="00B968C0" w:rsidRPr="00B968C0">
          <w:rPr>
            <w:rStyle w:val="Hyperlnk"/>
          </w:rPr>
          <w:t>Handbok för socialtjänsten, hälso- och sjukvården och tandvården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3CD" w14:textId="77777777" w:rsidR="00523FFC" w:rsidRDefault="00523F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1E90F77E" w14:textId="77777777" w:rsidTr="00FE5CB9">
      <w:tc>
        <w:tcPr>
          <w:tcW w:w="2500" w:type="pct"/>
        </w:tcPr>
        <w:p w14:paraId="504829D9" w14:textId="77777777" w:rsidR="00E00798" w:rsidRDefault="00E00798">
          <w:pPr>
            <w:pStyle w:val="Sidhuvud"/>
          </w:pPr>
        </w:p>
      </w:tc>
      <w:tc>
        <w:tcPr>
          <w:tcW w:w="2500" w:type="pct"/>
        </w:tcPr>
        <w:p w14:paraId="7B7A5161" w14:textId="77777777" w:rsidR="00E00798" w:rsidRDefault="00E00798" w:rsidP="00FE5CB9">
          <w:pPr>
            <w:pStyle w:val="Sidhuvud"/>
            <w:tabs>
              <w:tab w:val="clear" w:pos="4536"/>
              <w:tab w:val="center" w:pos="4239"/>
            </w:tabs>
            <w:jc w:val="right"/>
          </w:pPr>
          <w:r>
            <w:fldChar w:fldCharType="begin"/>
          </w:r>
          <w:r>
            <w:instrText>PAGE   \* MERGEFORMAT</w:instrText>
          </w:r>
          <w:r>
            <w:fldChar w:fldCharType="separate"/>
          </w:r>
          <w:r>
            <w:t>1</w:t>
          </w:r>
          <w:r>
            <w:fldChar w:fldCharType="end"/>
          </w:r>
          <w:r w:rsidR="00057A70">
            <w:rPr>
              <w:bCs/>
            </w:rPr>
            <w:t> </w:t>
          </w:r>
          <w:r>
            <w:t>(</w:t>
          </w:r>
          <w:fldSimple w:instr=" NUMPAGES  \* Arabic  \* MERGEFORMAT ">
            <w:r>
              <w:rPr>
                <w:noProof/>
              </w:rPr>
              <w:t>6</w:t>
            </w:r>
          </w:fldSimple>
          <w:r>
            <w:t>)</w:t>
          </w:r>
        </w:p>
      </w:tc>
    </w:tr>
  </w:tbl>
  <w:p w14:paraId="3A735CFD" w14:textId="77777777" w:rsidR="00ED6C6F" w:rsidRDefault="00ED6C6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189D1937" w14:textId="77777777" w:rsidTr="00FE5CB9">
      <w:tc>
        <w:tcPr>
          <w:tcW w:w="2500" w:type="pct"/>
        </w:tcPr>
        <w:p w14:paraId="029DC8F6" w14:textId="77777777" w:rsidR="00D50BDE" w:rsidRDefault="00D50BDE" w:rsidP="00D50BDE">
          <w:pPr>
            <w:pStyle w:val="Sidhuvud"/>
          </w:pPr>
        </w:p>
      </w:tc>
      <w:tc>
        <w:tcPr>
          <w:tcW w:w="2500" w:type="pct"/>
        </w:tcPr>
        <w:p w14:paraId="7A332EF3" w14:textId="77777777" w:rsidR="00D50BDE" w:rsidRDefault="00D50BDE" w:rsidP="00D50BDE">
          <w:pPr>
            <w:pStyle w:val="Sidhuvud"/>
            <w:jc w:val="right"/>
          </w:pPr>
          <w:r>
            <w:fldChar w:fldCharType="begin"/>
          </w:r>
          <w:r>
            <w:instrText>PAGE   \* MERGEFORMAT</w:instrText>
          </w:r>
          <w:r>
            <w:fldChar w:fldCharType="separate"/>
          </w:r>
          <w:r>
            <w:t>1</w:t>
          </w:r>
          <w:r>
            <w:fldChar w:fldCharType="end"/>
          </w:r>
          <w:r w:rsidR="00057A70">
            <w:rPr>
              <w:bCs/>
            </w:rPr>
            <w:t> </w:t>
          </w:r>
          <w:r>
            <w:t>(</w:t>
          </w:r>
          <w:fldSimple w:instr=" NUMPAGES  \* Arabic  \* MERGEFORMAT ">
            <w:r>
              <w:rPr>
                <w:noProof/>
              </w:rPr>
              <w:t>6</w:t>
            </w:r>
          </w:fldSimple>
          <w:r>
            <w:t>)</w:t>
          </w:r>
        </w:p>
      </w:tc>
    </w:tr>
  </w:tbl>
  <w:p w14:paraId="5DDD23FA" w14:textId="77777777" w:rsidR="00D50BDE" w:rsidRDefault="00057A70">
    <w:pPr>
      <w:pStyle w:val="Sidhuvud"/>
    </w:pPr>
    <w:r>
      <w:rPr>
        <w:noProof/>
      </w:rPr>
      <w:drawing>
        <wp:anchor distT="0" distB="0" distL="114300" distR="114300" simplePos="0" relativeHeight="251658240" behindDoc="0" locked="1" layoutInCell="1" allowOverlap="1" wp14:anchorId="19A1D476" wp14:editId="70607686">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1C09C0"/>
    <w:multiLevelType w:val="hybridMultilevel"/>
    <w:tmpl w:val="5E14BE4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592782211">
    <w:abstractNumId w:val="14"/>
  </w:num>
  <w:num w:numId="2" w16cid:durableId="115878555">
    <w:abstractNumId w:val="3"/>
  </w:num>
  <w:num w:numId="3" w16cid:durableId="1741634778">
    <w:abstractNumId w:val="2"/>
  </w:num>
  <w:num w:numId="4" w16cid:durableId="1284194814">
    <w:abstractNumId w:val="1"/>
  </w:num>
  <w:num w:numId="5" w16cid:durableId="554392278">
    <w:abstractNumId w:val="0"/>
  </w:num>
  <w:num w:numId="6" w16cid:durableId="185146245">
    <w:abstractNumId w:val="9"/>
  </w:num>
  <w:num w:numId="7" w16cid:durableId="1299409251">
    <w:abstractNumId w:val="7"/>
  </w:num>
  <w:num w:numId="8" w16cid:durableId="497623310">
    <w:abstractNumId w:val="6"/>
  </w:num>
  <w:num w:numId="9" w16cid:durableId="129785265">
    <w:abstractNumId w:val="5"/>
  </w:num>
  <w:num w:numId="10" w16cid:durableId="1231111131">
    <w:abstractNumId w:val="4"/>
  </w:num>
  <w:num w:numId="11" w16cid:durableId="1123117460">
    <w:abstractNumId w:val="11"/>
  </w:num>
  <w:num w:numId="12" w16cid:durableId="368265366">
    <w:abstractNumId w:val="9"/>
  </w:num>
  <w:num w:numId="13" w16cid:durableId="365912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3153127">
    <w:abstractNumId w:val="12"/>
  </w:num>
  <w:num w:numId="15" w16cid:durableId="2038895920">
    <w:abstractNumId w:val="10"/>
  </w:num>
  <w:num w:numId="16" w16cid:durableId="21905596">
    <w:abstractNumId w:val="13"/>
  </w:num>
  <w:num w:numId="17" w16cid:durableId="1337341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13"/>
    <w:rsid w:val="00023CF5"/>
    <w:rsid w:val="000304A9"/>
    <w:rsid w:val="00033DD2"/>
    <w:rsid w:val="00035827"/>
    <w:rsid w:val="0003608C"/>
    <w:rsid w:val="00057A70"/>
    <w:rsid w:val="00081E07"/>
    <w:rsid w:val="00083807"/>
    <w:rsid w:val="000927CE"/>
    <w:rsid w:val="00096D65"/>
    <w:rsid w:val="000A08E8"/>
    <w:rsid w:val="000A259F"/>
    <w:rsid w:val="000B37D4"/>
    <w:rsid w:val="000C60F9"/>
    <w:rsid w:val="000D29F7"/>
    <w:rsid w:val="000D4286"/>
    <w:rsid w:val="000D787A"/>
    <w:rsid w:val="0010206C"/>
    <w:rsid w:val="0011207E"/>
    <w:rsid w:val="00136C6B"/>
    <w:rsid w:val="001416BE"/>
    <w:rsid w:val="00141829"/>
    <w:rsid w:val="00142663"/>
    <w:rsid w:val="00195944"/>
    <w:rsid w:val="0019680D"/>
    <w:rsid w:val="001A221D"/>
    <w:rsid w:val="001A7D3F"/>
    <w:rsid w:val="001B2002"/>
    <w:rsid w:val="001B4BB9"/>
    <w:rsid w:val="001D2C79"/>
    <w:rsid w:val="00220B93"/>
    <w:rsid w:val="0023309C"/>
    <w:rsid w:val="002346A2"/>
    <w:rsid w:val="00235637"/>
    <w:rsid w:val="00237D8B"/>
    <w:rsid w:val="002611BD"/>
    <w:rsid w:val="002A223C"/>
    <w:rsid w:val="002A638C"/>
    <w:rsid w:val="002D410B"/>
    <w:rsid w:val="002F7366"/>
    <w:rsid w:val="00315E53"/>
    <w:rsid w:val="003345C3"/>
    <w:rsid w:val="0035044E"/>
    <w:rsid w:val="00356C3F"/>
    <w:rsid w:val="00364B51"/>
    <w:rsid w:val="00366BCF"/>
    <w:rsid w:val="003977E2"/>
    <w:rsid w:val="003A0FEC"/>
    <w:rsid w:val="003A1C71"/>
    <w:rsid w:val="003D15A9"/>
    <w:rsid w:val="003D1AD5"/>
    <w:rsid w:val="003F0BD7"/>
    <w:rsid w:val="00411FB3"/>
    <w:rsid w:val="00443C11"/>
    <w:rsid w:val="004457CA"/>
    <w:rsid w:val="004539FA"/>
    <w:rsid w:val="00463F60"/>
    <w:rsid w:val="00466ABB"/>
    <w:rsid w:val="00472FE4"/>
    <w:rsid w:val="00473497"/>
    <w:rsid w:val="00481060"/>
    <w:rsid w:val="00483F66"/>
    <w:rsid w:val="004A3C21"/>
    <w:rsid w:val="004C2AA9"/>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6423"/>
    <w:rsid w:val="005D0A7A"/>
    <w:rsid w:val="005D5D0A"/>
    <w:rsid w:val="005E0CDB"/>
    <w:rsid w:val="005F29FB"/>
    <w:rsid w:val="00606B0F"/>
    <w:rsid w:val="006137D6"/>
    <w:rsid w:val="00687F3F"/>
    <w:rsid w:val="00693ED8"/>
    <w:rsid w:val="00697C2E"/>
    <w:rsid w:val="006A60A8"/>
    <w:rsid w:val="006C0636"/>
    <w:rsid w:val="006E43A5"/>
    <w:rsid w:val="00735FC6"/>
    <w:rsid w:val="00772B6E"/>
    <w:rsid w:val="007829D2"/>
    <w:rsid w:val="00783074"/>
    <w:rsid w:val="0078369D"/>
    <w:rsid w:val="0078522D"/>
    <w:rsid w:val="007A0B53"/>
    <w:rsid w:val="007A1F67"/>
    <w:rsid w:val="007A5790"/>
    <w:rsid w:val="007B634A"/>
    <w:rsid w:val="007C5139"/>
    <w:rsid w:val="007E16FA"/>
    <w:rsid w:val="00801BBF"/>
    <w:rsid w:val="008215CB"/>
    <w:rsid w:val="008328F7"/>
    <w:rsid w:val="00834506"/>
    <w:rsid w:val="00834E7E"/>
    <w:rsid w:val="00853713"/>
    <w:rsid w:val="008574B7"/>
    <w:rsid w:val="0086280E"/>
    <w:rsid w:val="00870403"/>
    <w:rsid w:val="0087590B"/>
    <w:rsid w:val="00875CBE"/>
    <w:rsid w:val="008769CC"/>
    <w:rsid w:val="008A525C"/>
    <w:rsid w:val="008C5285"/>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6EF9"/>
    <w:rsid w:val="009E7B9D"/>
    <w:rsid w:val="009E7F82"/>
    <w:rsid w:val="00A0588E"/>
    <w:rsid w:val="00A076D6"/>
    <w:rsid w:val="00A1534E"/>
    <w:rsid w:val="00A16CC3"/>
    <w:rsid w:val="00A17B37"/>
    <w:rsid w:val="00A2125B"/>
    <w:rsid w:val="00A23320"/>
    <w:rsid w:val="00A45151"/>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968C0"/>
    <w:rsid w:val="00BA6F15"/>
    <w:rsid w:val="00BB48AC"/>
    <w:rsid w:val="00BB7B8B"/>
    <w:rsid w:val="00BD0156"/>
    <w:rsid w:val="00BE0327"/>
    <w:rsid w:val="00BE3F3D"/>
    <w:rsid w:val="00C02681"/>
    <w:rsid w:val="00C079B5"/>
    <w:rsid w:val="00C13434"/>
    <w:rsid w:val="00C41E53"/>
    <w:rsid w:val="00C4216C"/>
    <w:rsid w:val="00C63DA4"/>
    <w:rsid w:val="00C71141"/>
    <w:rsid w:val="00C76661"/>
    <w:rsid w:val="00C81F74"/>
    <w:rsid w:val="00CB0741"/>
    <w:rsid w:val="00CC149C"/>
    <w:rsid w:val="00CC3124"/>
    <w:rsid w:val="00CC3657"/>
    <w:rsid w:val="00CC6DCF"/>
    <w:rsid w:val="00CF7420"/>
    <w:rsid w:val="00D070FF"/>
    <w:rsid w:val="00D2298A"/>
    <w:rsid w:val="00D4779E"/>
    <w:rsid w:val="00D50BDE"/>
    <w:rsid w:val="00D921D2"/>
    <w:rsid w:val="00DA4B57"/>
    <w:rsid w:val="00DD1FC0"/>
    <w:rsid w:val="00DF0444"/>
    <w:rsid w:val="00DF42CC"/>
    <w:rsid w:val="00E00798"/>
    <w:rsid w:val="00E05BFC"/>
    <w:rsid w:val="00E210B9"/>
    <w:rsid w:val="00E25094"/>
    <w:rsid w:val="00E33025"/>
    <w:rsid w:val="00E50040"/>
    <w:rsid w:val="00E635C5"/>
    <w:rsid w:val="00E66CA0"/>
    <w:rsid w:val="00E92DCF"/>
    <w:rsid w:val="00EA2A41"/>
    <w:rsid w:val="00EB1E30"/>
    <w:rsid w:val="00EB551D"/>
    <w:rsid w:val="00EB7108"/>
    <w:rsid w:val="00EC5EB1"/>
    <w:rsid w:val="00ED6C6F"/>
    <w:rsid w:val="00EF58B6"/>
    <w:rsid w:val="00F36894"/>
    <w:rsid w:val="00F37F5D"/>
    <w:rsid w:val="00F4778E"/>
    <w:rsid w:val="00F5205D"/>
    <w:rsid w:val="00F601CC"/>
    <w:rsid w:val="00F61558"/>
    <w:rsid w:val="00F61F0E"/>
    <w:rsid w:val="00F7784D"/>
    <w:rsid w:val="00FC6F9F"/>
    <w:rsid w:val="00FD7347"/>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3880"/>
  <w15:chartTrackingRefBased/>
  <w15:docId w15:val="{82D2057D-05C8-4039-8ABA-D762FD7E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styleId="Olstomnmnande">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styrelsen.se/globalassets/sharepoint-dokument/artikelkatalog/handbocker/2023-6-859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se\apps\Gemensam\Mallar\Office2016\&#214;vergripande%20Region%20Halland%20mallar\Textmall%20-%20Region%20Halland.dotx" TargetMode="External"/></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AFBB-1623-4679-AEE6-E1B5D88B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Textmall - Region Halland</Template>
  <TotalTime>26</TotalTime>
  <Pages>3</Pages>
  <Words>1025</Words>
  <Characters>5436</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Jadeling Persson Eva RK HÄLSO- OCH SJUKVÅRD</dc:creator>
  <cp:keywords/>
  <dc:description/>
  <cp:lastModifiedBy>Jadeling Eva RK HÄLSO- OCH SJUKVÅRD</cp:lastModifiedBy>
  <cp:revision>10</cp:revision>
  <cp:lastPrinted>2019-02-18T10:06:00Z</cp:lastPrinted>
  <dcterms:created xsi:type="dcterms:W3CDTF">2023-07-06T15:04:00Z</dcterms:created>
  <dcterms:modified xsi:type="dcterms:W3CDTF">2023-07-06T15:30:00Z</dcterms:modified>
</cp:coreProperties>
</file>