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5870B098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</w:t>
      </w:r>
      <w:r w:rsidR="00CA31A1">
        <w:rPr>
          <w:sz w:val="24"/>
          <w:szCs w:val="24"/>
        </w:rPr>
        <w:t>8-08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27A6EAA0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C4269E">
              <w:t>Louise Bentley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1B49D222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Markus Lingman, Marianne Kondrup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48DFF9D1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="00C4269E">
              <w:rPr>
                <w:rFonts w:cs="Arial"/>
              </w:rPr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4977FF8A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6CC2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6D8C1E94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57F7FAD3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C4269E">
              <w:rPr>
                <w:rFonts w:cs="Arial"/>
              </w:rPr>
              <w:t>Andreas Mattsson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5A8E98A" w:rsidR="00346AAE" w:rsidRPr="00AA3030" w:rsidRDefault="00AA3030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Lina Santesson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04A9744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Eva-Karin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6B1720EA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Maria Frobin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30014314" w:rsidR="00346AAE" w:rsidRPr="00AA3030" w:rsidRDefault="00C4269E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>Helene Ljungqvist</w:t>
            </w:r>
            <w:r w:rsidR="00AA3030">
              <w:rPr>
                <w:rFonts w:cs="Arial"/>
              </w:rPr>
              <w:t xml:space="preserve">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26D884AB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2E1D474E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269E">
              <w:rPr>
                <w:rFonts w:cs="Arial"/>
              </w:rPr>
              <w:t>Kristin Ahne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3B772491" w:rsidR="00346AAE" w:rsidRPr="00ED482B" w:rsidRDefault="001B30BE" w:rsidP="00ED482B">
            <w:pPr>
              <w:pStyle w:val="Punktlista1"/>
              <w:ind w:left="277"/>
            </w:pPr>
            <w:r>
              <w:t>Jakob Alström</w:t>
            </w:r>
            <w:r w:rsidR="004F1E55">
              <w:t>, Semra Redzepagic</w:t>
            </w:r>
            <w:r w:rsidR="005401B9">
              <w:t>,</w:t>
            </w:r>
            <w:r w:rsidR="00C4269E">
              <w:t xml:space="preserve"> Anna Carlsson (</w:t>
            </w:r>
            <w:r w:rsidR="00CC0CCE">
              <w:t>KIB</w:t>
            </w:r>
            <w:r w:rsidR="00C4269E"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03B1F383" w:rsidR="0038345F" w:rsidRPr="00AF62F8" w:rsidRDefault="002A417A" w:rsidP="00C14B38">
            <w:pPr>
              <w:pStyle w:val="Punktlista1"/>
              <w:spacing w:before="240" w:after="240"/>
            </w:pPr>
            <w:r>
              <w:t xml:space="preserve"> </w:t>
            </w:r>
            <w:r w:rsidR="008667D4">
              <w:t>Inget att rapportera</w:t>
            </w:r>
            <w:r w:rsidR="00416CC2">
              <w:t>.</w:t>
            </w:r>
          </w:p>
        </w:tc>
        <w:tc>
          <w:tcPr>
            <w:tcW w:w="2126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143D033D" w:rsidR="00316793" w:rsidRPr="00AF62F8" w:rsidRDefault="008667D4" w:rsidP="0067742F">
            <w:pPr>
              <w:pStyle w:val="Punktlista1"/>
              <w:spacing w:before="240" w:after="240"/>
              <w:ind w:left="143"/>
            </w:pPr>
            <w:r>
              <w:t>Få vårdplatser i Varberg</w:t>
            </w:r>
            <w:r w:rsidR="00416CC2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559BE058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581108B4" w:rsidR="009155EB" w:rsidRPr="00AF62F8" w:rsidRDefault="00F1176A" w:rsidP="0067742F">
            <w:pPr>
              <w:pStyle w:val="Punktlista1"/>
              <w:spacing w:before="240" w:after="240"/>
              <w:ind w:left="143"/>
            </w:pPr>
            <w:r>
              <w:t>Läget är under kontroll</w:t>
            </w:r>
            <w:r w:rsidR="00416CC2">
              <w:t xml:space="preserve"> men h</w:t>
            </w:r>
            <w:r>
              <w:t>ögt tryck i Falkenbergs område</w:t>
            </w:r>
            <w:r w:rsidR="00416CC2"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3427C030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0EA50A8" w14:textId="072B18D2" w:rsidR="0072389C" w:rsidRDefault="002A417A" w:rsidP="002B0FBD">
            <w:pPr>
              <w:pStyle w:val="Punktlista1"/>
              <w:spacing w:before="240" w:after="240"/>
            </w:pPr>
            <w:r>
              <w:t xml:space="preserve"> </w:t>
            </w:r>
          </w:p>
          <w:p w14:paraId="0ACB1673" w14:textId="2607089B" w:rsidR="00F1176A" w:rsidRPr="00FB6183" w:rsidRDefault="00F1176A" w:rsidP="002B0FBD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11604707" w:rsidR="009055BE" w:rsidRPr="00483F23" w:rsidRDefault="00F1176A" w:rsidP="00AF62F8">
            <w:pPr>
              <w:pStyle w:val="Punktlista1"/>
              <w:spacing w:before="240" w:after="240"/>
              <w:ind w:left="142"/>
            </w:pPr>
            <w:r w:rsidRPr="00E03DC1">
              <w:t xml:space="preserve">I norra delen av länet </w:t>
            </w:r>
            <w:r w:rsidR="00416CC2" w:rsidRPr="00E03DC1">
              <w:t>har</w:t>
            </w:r>
            <w:r w:rsidRPr="00E03DC1">
              <w:t xml:space="preserve"> det ibland sakna</w:t>
            </w:r>
            <w:r w:rsidR="00416CC2" w:rsidRPr="00E03DC1">
              <w:t>t</w:t>
            </w:r>
            <w:r w:rsidRPr="00E03DC1">
              <w:t xml:space="preserve">s </w:t>
            </w:r>
            <w:r w:rsidR="00416CC2" w:rsidRPr="00E03DC1">
              <w:t xml:space="preserve">tillräckligt med </w:t>
            </w:r>
            <w:r w:rsidRPr="00E03DC1">
              <w:t xml:space="preserve">läkemedel för att starta </w:t>
            </w:r>
            <w:r w:rsidR="00416CC2" w:rsidRPr="00E03DC1">
              <w:t>ApoD</w:t>
            </w:r>
            <w:r w:rsidRPr="00E03DC1">
              <w:t>os</w:t>
            </w:r>
            <w:r w:rsidR="00416CC2" w:rsidRPr="00E03DC1">
              <w:t xml:space="preserve"> vilket lett till att det blivit tajt för vissa vårdcentraler att fixa till ApoDos för patienterna. </w:t>
            </w: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29446E25" w:rsidR="0072389C" w:rsidRPr="00FB6183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Läget under kontroll. </w:t>
            </w:r>
            <w:r w:rsidR="00E03DC1">
              <w:t>Ökat antal</w:t>
            </w:r>
            <w:r>
              <w:t xml:space="preserve"> patienter i Varberg.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6126F79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69A7B01A" w:rsidR="0072389C" w:rsidRPr="00AF62F8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Läget under kontroll.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4142476D" w:rsidR="0067742F" w:rsidRPr="00AF62F8" w:rsidRDefault="00E03DC1" w:rsidP="00890ABD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AF43A6B" w:rsidR="0072389C" w:rsidRPr="000A4DED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Halmstad kommun</w:t>
            </w:r>
          </w:p>
        </w:tc>
        <w:tc>
          <w:tcPr>
            <w:tcW w:w="2550" w:type="dxa"/>
          </w:tcPr>
          <w:p w14:paraId="3B02DA67" w14:textId="07AFAB22" w:rsidR="009675A7" w:rsidRPr="00AF62F8" w:rsidRDefault="00F1176A" w:rsidP="00FC2493">
            <w:pPr>
              <w:pStyle w:val="Punktlista1"/>
              <w:spacing w:before="240" w:after="240"/>
              <w:ind w:left="143"/>
            </w:pPr>
            <w:r>
              <w:t xml:space="preserve">Normal sommardrift. </w:t>
            </w:r>
          </w:p>
        </w:tc>
        <w:tc>
          <w:tcPr>
            <w:tcW w:w="2126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21133815" w:rsidR="009869BD" w:rsidRPr="00AF62F8" w:rsidRDefault="00E03DC1" w:rsidP="00FC0D9B">
            <w:pPr>
              <w:pStyle w:val="Punktlista1"/>
              <w:spacing w:before="240" w:after="240"/>
              <w:ind w:left="143"/>
            </w:pPr>
            <w:r>
              <w:t>Sjuksköterskorna</w:t>
            </w:r>
            <w:r w:rsidR="00F1176A">
              <w:t xml:space="preserve"> </w:t>
            </w:r>
            <w:r>
              <w:t xml:space="preserve">börjar </w:t>
            </w:r>
            <w:r w:rsidR="00F1176A">
              <w:t>komm</w:t>
            </w:r>
            <w:r>
              <w:t>a</w:t>
            </w:r>
            <w:r w:rsidR="00F1176A">
              <w:t xml:space="preserve"> tillbaka från </w:t>
            </w:r>
            <w:r>
              <w:t xml:space="preserve">sina </w:t>
            </w:r>
            <w:r w:rsidR="00F1176A">
              <w:t>semes</w:t>
            </w:r>
            <w:r>
              <w:t>trar.</w:t>
            </w:r>
            <w:r w:rsidR="00F1176A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0451E0F0" w:rsidR="00FB6183" w:rsidRPr="00FB6183" w:rsidRDefault="00F1176A" w:rsidP="00FC2493">
            <w:pPr>
              <w:pStyle w:val="Punktlista1"/>
              <w:spacing w:before="240" w:after="240"/>
              <w:ind w:left="143"/>
            </w:pPr>
            <w:r>
              <w:t>Klarar uppdrag</w:t>
            </w:r>
            <w:r w:rsidR="00E03DC1">
              <w:t xml:space="preserve">et. </w:t>
            </w:r>
            <w:r>
              <w:t>Någon ledig plats på kortti</w:t>
            </w:r>
            <w:r w:rsidR="00E03DC1">
              <w:t xml:space="preserve">d.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72E34AA7" w:rsidR="00BA1690" w:rsidRPr="00FB6183" w:rsidRDefault="00E03DC1" w:rsidP="00AF62F8">
            <w:pPr>
              <w:pStyle w:val="Punktlista1"/>
              <w:spacing w:before="240" w:after="240"/>
              <w:ind w:left="143"/>
            </w:pPr>
            <w:r>
              <w:t>Många sjuka bland</w:t>
            </w:r>
            <w:r w:rsidR="00F1176A">
              <w:t xml:space="preserve"> vård-och </w:t>
            </w:r>
            <w:r>
              <w:t xml:space="preserve">omsorgspersonalen </w:t>
            </w:r>
            <w:r w:rsidR="00F1176A">
              <w:t xml:space="preserve">men klarar uppdraget. Två lediga platser på korttiden.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176E797E" w:rsidR="001A35B9" w:rsidRPr="00FB6183" w:rsidRDefault="00F1176A" w:rsidP="000100EA">
            <w:pPr>
              <w:pStyle w:val="Punktlista1"/>
              <w:spacing w:before="240" w:after="240"/>
              <w:ind w:left="143"/>
            </w:pPr>
            <w:r>
              <w:t xml:space="preserve">Normal sommardrift. 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11649082" w:rsidR="0072389C" w:rsidRPr="00FB6183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3F6D8DE1" w:rsidR="00FB6183" w:rsidRPr="00FB6183" w:rsidRDefault="00F1176A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05662212" w:rsidR="009675A7" w:rsidRDefault="009675A7" w:rsidP="00D44894">
      <w:pPr>
        <w:rPr>
          <w:b/>
        </w:rPr>
      </w:pPr>
      <w:r>
        <w:rPr>
          <w:b/>
        </w:rPr>
        <w:t>Identifierade samverka</w:t>
      </w:r>
      <w:r w:rsidR="00CA31A1">
        <w:rPr>
          <w:b/>
        </w:rPr>
        <w:t>n</w:t>
      </w:r>
      <w:r>
        <w:rPr>
          <w:b/>
        </w:rPr>
        <w:t>sbehov:</w:t>
      </w:r>
    </w:p>
    <w:p w14:paraId="1740536A" w14:textId="77777777" w:rsidR="00FC2493" w:rsidRDefault="00FC2493" w:rsidP="00D44894">
      <w:pPr>
        <w:rPr>
          <w:b/>
        </w:rPr>
      </w:pPr>
    </w:p>
    <w:p w14:paraId="4954F416" w14:textId="7169AF59" w:rsidR="5F70013A" w:rsidRDefault="007F47F8" w:rsidP="5F70013A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F1176A">
        <w:rPr>
          <w:b/>
        </w:rPr>
        <w:t>Verksamheterna</w:t>
      </w:r>
      <w:r w:rsidR="00142626">
        <w:rPr>
          <w:b/>
        </w:rPr>
        <w:t xml:space="preserve"> fungerar </w:t>
      </w:r>
      <w:r w:rsidR="00F1176A">
        <w:rPr>
          <w:b/>
        </w:rPr>
        <w:t xml:space="preserve">som vanligt. Stormen Hans har inte påverkat verksamheterna i dagsläget. </w:t>
      </w:r>
    </w:p>
    <w:p w14:paraId="2E510115" w14:textId="77777777" w:rsidR="00F1176A" w:rsidRDefault="00F1176A" w:rsidP="5F70013A"/>
    <w:p w14:paraId="68F3D894" w14:textId="77777777" w:rsidR="007A609D" w:rsidRDefault="007A609D" w:rsidP="5F70013A"/>
    <w:p w14:paraId="439A0387" w14:textId="77777777" w:rsidR="007A609D" w:rsidRDefault="007A609D" w:rsidP="5F70013A"/>
    <w:p w14:paraId="4165599B" w14:textId="75A61CE0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lastRenderedPageBreak/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46CD09DA" w:rsidR="00202316" w:rsidRPr="00582BF0" w:rsidRDefault="007A609D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AE1A8E">
        <w:t>Jakob Alström</w:t>
      </w:r>
    </w:p>
    <w:p w14:paraId="6522C054" w14:textId="3C397F76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65A0" w14:textId="77777777" w:rsidR="002B2797" w:rsidRDefault="002B2797">
      <w:r>
        <w:separator/>
      </w:r>
    </w:p>
  </w:endnote>
  <w:endnote w:type="continuationSeparator" w:id="0">
    <w:p w14:paraId="6EC40BBA" w14:textId="77777777" w:rsidR="002B2797" w:rsidRDefault="002B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F559" w14:textId="77777777" w:rsidR="002B2797" w:rsidRDefault="002B2797">
      <w:r>
        <w:separator/>
      </w:r>
    </w:p>
  </w:footnote>
  <w:footnote w:type="continuationSeparator" w:id="0">
    <w:p w14:paraId="12142707" w14:textId="77777777" w:rsidR="002B2797" w:rsidRDefault="002B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2810CF07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FC294E">
            <w:t>3-0</w:t>
          </w:r>
          <w:r w:rsidR="00CA31A1">
            <w:t>8-08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sv-SE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626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417A"/>
    <w:rsid w:val="002A6750"/>
    <w:rsid w:val="002A74B3"/>
    <w:rsid w:val="002B0DBC"/>
    <w:rsid w:val="002B0FBD"/>
    <w:rsid w:val="002B1686"/>
    <w:rsid w:val="002B2797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16CC2"/>
    <w:rsid w:val="00421C24"/>
    <w:rsid w:val="00422ECE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07DDF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609D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667D4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29D3"/>
    <w:rsid w:val="00A858BE"/>
    <w:rsid w:val="00A85F92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269E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31A1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3DC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176A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11</cp:revision>
  <cp:lastPrinted>2020-07-06T07:57:00Z</cp:lastPrinted>
  <dcterms:created xsi:type="dcterms:W3CDTF">2023-06-19T12:15:00Z</dcterms:created>
  <dcterms:modified xsi:type="dcterms:W3CDTF">2023-08-08T12:27:00Z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